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仿宋_GB2312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hAnsi="黑体" w:eastAsia="黑体" w:cs="仿宋_GB2312"/>
          <w:b w:val="0"/>
          <w:bCs w:val="0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仿宋_GB2312"/>
          <w:b w:val="0"/>
          <w:bCs w:val="0"/>
          <w:color w:val="000000"/>
          <w:kern w:val="0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仿宋_GB2312"/>
          <w:b w:val="0"/>
          <w:bCs w:val="0"/>
          <w:color w:val="auto"/>
          <w:kern w:val="0"/>
          <w:sz w:val="44"/>
          <w:szCs w:val="32"/>
          <w:lang w:val="zh-CN"/>
        </w:rPr>
      </w:pPr>
      <w:bookmarkStart w:id="0" w:name="_GoBack"/>
      <w:r>
        <w:rPr>
          <w:rFonts w:hint="eastAsia" w:ascii="方正小标宋简体" w:eastAsia="方正小标宋简体" w:cs="仿宋_GB2312"/>
          <w:b w:val="0"/>
          <w:bCs w:val="0"/>
          <w:color w:val="auto"/>
          <w:kern w:val="0"/>
          <w:sz w:val="44"/>
          <w:szCs w:val="32"/>
          <w:lang w:val="zh-CN"/>
        </w:rPr>
        <w:t>202</w:t>
      </w:r>
      <w:r>
        <w:rPr>
          <w:rFonts w:hint="eastAsia" w:ascii="方正小标宋简体" w:eastAsia="方正小标宋简体" w:cs="仿宋_GB2312"/>
          <w:b w:val="0"/>
          <w:bCs w:val="0"/>
          <w:color w:val="auto"/>
          <w:kern w:val="0"/>
          <w:sz w:val="44"/>
          <w:szCs w:val="32"/>
          <w:lang w:val="en-US" w:eastAsia="zh-CN"/>
        </w:rPr>
        <w:t>4</w:t>
      </w:r>
      <w:r>
        <w:rPr>
          <w:rFonts w:hint="eastAsia" w:ascii="方正小标宋简体" w:eastAsia="方正小标宋简体" w:cs="仿宋_GB2312"/>
          <w:b w:val="0"/>
          <w:bCs w:val="0"/>
          <w:color w:val="auto"/>
          <w:kern w:val="0"/>
          <w:sz w:val="44"/>
          <w:szCs w:val="32"/>
          <w:lang w:val="zh-CN"/>
        </w:rPr>
        <w:t>年度河南省法学研究课题指南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一、第一课题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习近平法治思想红色基因的传承与发展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2.习近平法治思想的数字法治观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3.习近平文化思想与河南法治文化建设研究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4.以政法工作现代化支撑和服务中国式现代化研究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二、服务中国式现代化建设河南实践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河南法治建设与现代化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新质生产力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河南在法治轨道上参与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建设全国统一大市场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8.河南推动人工智能创新发展法治保障研究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平台经济发展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统筹区域协调发展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建设国家创新高地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数字经济强省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建设制造业强省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建设农业强省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人才强省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构建房地产发展新模式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三、平安建设和法治建设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河南政法工作高标准维护社会主义市场经济秩序研究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河南政法工作高标准保障重大战略实施研究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河南政法工作高标准优化法治化营商环境研究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河南省域社会稳定风险防范化解研究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矛盾风险源头治理研究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23.创新鉴调一体模式推动平安河南建设的实践与探索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24.河南卫生健康法规规章体系研究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中原优秀法治文化的挖掘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传承与发展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鄂豫皖革命根据地红色法治基因的传承与发展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河南地方立法贯穿全过程人民民主的实践与探索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生成式人工智能的司法应用及风险规制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河南涉外卓越法律人才培养机制研究</w:t>
      </w:r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hint="eastAsia" w:ascii="黑体" w:hAnsi="黑体" w:eastAsia="黑体"/>
          <w:b/>
          <w:color w:val="auto"/>
          <w:szCs w:val="32"/>
        </w:rPr>
      </w:pPr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hint="eastAsia" w:ascii="黑体" w:hAnsi="黑体" w:eastAsia="黑体"/>
          <w:b/>
          <w:color w:val="auto"/>
          <w:szCs w:val="32"/>
        </w:rPr>
      </w:pPr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hint="eastAsia" w:ascii="黑体" w:hAnsi="黑体" w:eastAsia="黑体"/>
          <w:b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mVlNTc1OGI4YTcyOGY3ZDcwNDk2YTYyZThmOGQifQ=="/>
  </w:docVars>
  <w:rsids>
    <w:rsidRoot w:val="57422C13"/>
    <w:rsid w:val="0BC30234"/>
    <w:rsid w:val="2422439F"/>
    <w:rsid w:val="48C3755E"/>
    <w:rsid w:val="55E55FDF"/>
    <w:rsid w:val="57422C13"/>
    <w:rsid w:val="5F3A59C0"/>
    <w:rsid w:val="76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480" w:firstLineChars="200"/>
    </w:pPr>
    <w:rPr>
      <w:rFonts w:hint="eastAsia" w:ascii="仿宋_GB2312" w:hAnsi="仿宋_GB2312" w:eastAsia="仿宋_GB2312" w:cs="仿宋_GB2312"/>
      <w:color w:val="000000"/>
      <w:kern w:val="0"/>
      <w:sz w:val="32"/>
      <w:szCs w:val="32"/>
      <w:lang w:bidi="ar"/>
    </w:rPr>
  </w:style>
  <w:style w:type="paragraph" w:customStyle="1" w:styleId="6">
    <w:name w:val="公文标题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exact"/>
      <w:ind w:firstLine="0" w:firstLineChars="0"/>
      <w:jc w:val="center"/>
    </w:pPr>
    <w:rPr>
      <w:rFonts w:hint="eastAsia" w:ascii="仿宋_GB2312" w:hAnsi="仿宋_GB2312" w:eastAsia="方正小标宋简体" w:cs="仿宋_GB2312"/>
      <w:color w:val="000000"/>
      <w:kern w:val="0"/>
      <w:sz w:val="44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2024-03-29T01:37:00Z</dcterms:created>
  <dc:creator>法治君</dc:creator>
  <cp:lastModifiedBy>法治君</cp:lastModifiedBy>
  <dcterms:modified xsi:type="dcterms:W3CDTF">2024-03-29T01:38:08Z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4A94356E94DD43A9951F9DA818FE1FD0_11</vt:lpwstr>
  </property>
</Properties>
</file>