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FC" w:rsidRDefault="00F1642A">
      <w:pPr>
        <w:pStyle w:val="ab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5031FC" w:rsidRDefault="005031FC">
      <w:pPr>
        <w:pStyle w:val="ab"/>
        <w:ind w:firstLineChars="0" w:firstLine="0"/>
        <w:rPr>
          <w:rFonts w:ascii="黑体" w:eastAsia="黑体" w:hAnsi="黑体" w:cs="黑体"/>
        </w:rPr>
      </w:pPr>
    </w:p>
    <w:p w:rsidR="005031FC" w:rsidRDefault="00F1642A">
      <w:pPr>
        <w:pStyle w:val="ad"/>
      </w:pPr>
      <w:r>
        <w:rPr>
          <w:rFonts w:ascii="Times New Roman" w:hAnsi="Times New Roman" w:cs="Times New Roman"/>
        </w:rPr>
        <w:t>2025</w:t>
      </w:r>
      <w:r>
        <w:rPr>
          <w:rFonts w:hint="eastAsia"/>
        </w:rPr>
        <w:t>年度鹤壁市法学研究立项课题目录</w:t>
      </w:r>
    </w:p>
    <w:tbl>
      <w:tblPr>
        <w:tblStyle w:val="a9"/>
        <w:tblpPr w:leftFromText="180" w:rightFromText="180" w:vertAnchor="text" w:horzAnchor="page" w:tblpXSpec="center" w:tblpY="636"/>
        <w:tblOverlap w:val="never"/>
        <w:tblW w:w="9338" w:type="dxa"/>
        <w:jc w:val="center"/>
        <w:tblLayout w:type="fixed"/>
        <w:tblLook w:val="04A0"/>
      </w:tblPr>
      <w:tblGrid>
        <w:gridCol w:w="1789"/>
        <w:gridCol w:w="4156"/>
        <w:gridCol w:w="989"/>
        <w:gridCol w:w="2404"/>
      </w:tblGrid>
      <w:tr w:rsidR="005031FC">
        <w:trPr>
          <w:trHeight w:hRule="exact" w:val="719"/>
          <w:jc w:val="center"/>
        </w:trPr>
        <w:tc>
          <w:tcPr>
            <w:tcW w:w="9338" w:type="dxa"/>
            <w:gridSpan w:val="4"/>
          </w:tcPr>
          <w:p w:rsidR="005031FC" w:rsidRDefault="00F1642A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bookmarkStart w:id="0" w:name="OLE_LINK88"/>
            <w:bookmarkStart w:id="1" w:name="OLE_LINK89"/>
            <w:r>
              <w:rPr>
                <w:rFonts w:ascii="黑体" w:eastAsia="黑体" w:hAnsi="黑体" w:cs="黑体" w:hint="eastAsia"/>
                <w:sz w:val="24"/>
              </w:rPr>
              <w:t>资助课题</w:t>
            </w:r>
            <w:bookmarkEnd w:id="0"/>
            <w:bookmarkEnd w:id="1"/>
          </w:p>
        </w:tc>
      </w:tr>
      <w:tr w:rsidR="005031FC">
        <w:trPr>
          <w:trHeight w:hRule="exact" w:val="712"/>
          <w:jc w:val="center"/>
        </w:trPr>
        <w:tc>
          <w:tcPr>
            <w:tcW w:w="1789" w:type="dxa"/>
          </w:tcPr>
          <w:p w:rsidR="005031FC" w:rsidRDefault="00F1642A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立项编号</w:t>
            </w:r>
          </w:p>
        </w:tc>
        <w:tc>
          <w:tcPr>
            <w:tcW w:w="4156" w:type="dxa"/>
          </w:tcPr>
          <w:p w:rsidR="005031FC" w:rsidRDefault="00F1642A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989" w:type="dxa"/>
          </w:tcPr>
          <w:p w:rsidR="005031FC" w:rsidRDefault="00F1642A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主持人</w:t>
            </w:r>
          </w:p>
        </w:tc>
        <w:tc>
          <w:tcPr>
            <w:tcW w:w="2404" w:type="dxa"/>
          </w:tcPr>
          <w:p w:rsidR="005031FC" w:rsidRDefault="00F1642A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OLE_LINK6"/>
            <w:bookmarkStart w:id="3" w:name="OLE_LINK5"/>
            <w:r>
              <w:rPr>
                <w:rFonts w:ascii="Times New Roman" w:hAnsi="Times New Roman" w:cs="Times New Roman" w:hint="eastAsia"/>
                <w:sz w:val="24"/>
              </w:rPr>
              <w:t>HBLS(2025)01</w:t>
            </w:r>
            <w:bookmarkEnd w:id="2"/>
            <w:bookmarkEnd w:id="3"/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鹤壁市食品加工民营企业的合同纠纷预防机制研究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聂琳峰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北京中医药大学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HBLS(2025)02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" w:name="OLE_LINK12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网络安全与数据安全的法律研究与鹤壁实践</w:t>
            </w:r>
            <w:bookmarkEnd w:id="4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" w:name="OLE_LINK1"/>
            <w:bookmarkStart w:id="6" w:name="OLE_LINK2"/>
            <w:bookmarkStart w:id="7" w:name="OLE_LINK11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卫江波</w:t>
            </w:r>
            <w:bookmarkEnd w:id="5"/>
            <w:bookmarkEnd w:id="6"/>
            <w:bookmarkEnd w:id="7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河南信息科技学院筹建处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HBLS(2025)03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数据可用不可见原则在法律监督中的实现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8" w:name="OLE_LINK17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王燕波</w:t>
            </w:r>
            <w:bookmarkEnd w:id="8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鹤山区检察院</w:t>
            </w:r>
          </w:p>
        </w:tc>
      </w:tr>
      <w:tr w:rsidR="005031FC">
        <w:trPr>
          <w:trHeight w:hRule="exact" w:val="818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HBLS(2025)04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正当防卫与互殴行为的区分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9" w:name="OLE_LINK24"/>
            <w:bookmarkStart w:id="10" w:name="OLE_LINK25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磊</w:t>
            </w:r>
            <w:bookmarkEnd w:id="9"/>
            <w:bookmarkEnd w:id="10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浚县检察院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HBLS(2025)05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家校社协同视角下小学生不良行为分级矫治策略研究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11" w:name="OLE_LINK29"/>
            <w:bookmarkStart w:id="12" w:name="OLE_LINK3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雁</w:t>
            </w:r>
            <w:bookmarkEnd w:id="11"/>
            <w:bookmarkEnd w:id="12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淇滨区天山小学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HBLS(2025)06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13" w:name="OLE_LINK33"/>
            <w:bookmarkStart w:id="14" w:name="OLE_LINK34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涉未成年人网络欺凌罪错行为的治罪与治理：问题类型、规制难点与纾解进路</w:t>
            </w:r>
            <w:bookmarkEnd w:id="13"/>
            <w:bookmarkEnd w:id="14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15" w:name="OLE_LINK32"/>
            <w:bookmarkStart w:id="16" w:name="OLE_LINK31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张晟炜</w:t>
            </w:r>
            <w:bookmarkEnd w:id="15"/>
            <w:bookmarkEnd w:id="16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同济大学法学院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HBLS(2025)07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17" w:name="OLE_LINK44"/>
            <w:bookmarkStart w:id="18" w:name="OLE_LINK43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罪错未成年人分级干预矫治助力鹤壁市平安建设的路径</w:t>
            </w:r>
            <w:bookmarkEnd w:id="17"/>
            <w:bookmarkEnd w:id="18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19" w:name="OLE_LINK42"/>
            <w:bookmarkStart w:id="20" w:name="OLE_LINK41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璞</w:t>
            </w:r>
            <w:bookmarkEnd w:id="19"/>
            <w:bookmarkEnd w:id="20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HBLS(2025)08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未成年人专门教育法治化研究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陶天意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江西财经大学法学院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HBLS(2025)09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21" w:name="OLE_LINK54"/>
            <w:bookmarkStart w:id="22" w:name="OLE_LINK53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预防未成年人违法犯罪的实践与研究</w:t>
            </w:r>
            <w:bookmarkEnd w:id="21"/>
            <w:bookmarkEnd w:id="22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张利敏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河</w:t>
            </w:r>
            <w:r>
              <w:rPr>
                <w:rFonts w:ascii="仿宋_GB2312" w:eastAsia="仿宋_GB2312" w:hAnsi="宋体" w:cs="仿宋_GB2312" w:hint="eastAsia"/>
                <w:color w:val="000000"/>
                <w:spacing w:val="-17"/>
                <w:kern w:val="0"/>
                <w:sz w:val="24"/>
              </w:rPr>
              <w:t>南建筑职业技术学院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HBLS(2025)10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预防未成年人违法犯罪的实践与研究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23" w:name="OLE_LINK63"/>
            <w:bookmarkStart w:id="24" w:name="OLE_LINK64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朱帅涛</w:t>
            </w:r>
            <w:bookmarkEnd w:id="23"/>
            <w:bookmarkEnd w:id="24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25" w:name="OLE_LINK50"/>
            <w:bookmarkStart w:id="26" w:name="OLE_LINK49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郑州市中级人民法院</w:t>
            </w:r>
            <w:bookmarkEnd w:id="25"/>
            <w:bookmarkEnd w:id="26"/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HBLS(2025)11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27" w:name="OLE_LINK75"/>
            <w:bookmarkStart w:id="28" w:name="OLE_LINK76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预防未成年人违法犯罪的实践与研究</w:t>
            </w:r>
            <w:bookmarkEnd w:id="27"/>
            <w:bookmarkEnd w:id="28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29" w:name="OLE_LINK73"/>
            <w:bookmarkStart w:id="30" w:name="OLE_LINK74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王宏溥</w:t>
            </w:r>
            <w:bookmarkEnd w:id="29"/>
            <w:bookmarkEnd w:id="30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淇滨区检察院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HBLS(2025)12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31" w:name="OLE_LINK86"/>
            <w:bookmarkStart w:id="32" w:name="OLE_LINK85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未成年人网络沉迷的法律边界与中学教育研究</w:t>
            </w:r>
            <w:bookmarkEnd w:id="31"/>
            <w:bookmarkEnd w:id="32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33" w:name="OLE_LINK83"/>
            <w:bookmarkStart w:id="34" w:name="OLE_LINK84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陈天林</w:t>
            </w:r>
            <w:bookmarkEnd w:id="33"/>
            <w:bookmarkEnd w:id="34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鹤山区鹤壁集镇中心小学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HBLS(2025)13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新业态劳动权益保障研究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35" w:name="OLE_LINK93"/>
            <w:bookmarkStart w:id="36" w:name="OLE_LINK92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陶伟腾</w:t>
            </w:r>
            <w:bookmarkEnd w:id="35"/>
            <w:bookmarkEnd w:id="36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37" w:name="OLE_LINK51"/>
            <w:bookmarkStart w:id="38" w:name="OLE_LINK56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上海外国语大学贤达经济人文学院</w:t>
            </w:r>
            <w:bookmarkEnd w:id="37"/>
            <w:bookmarkEnd w:id="38"/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HBLS(2025)14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39" w:name="OLE_LINK102"/>
            <w:bookmarkStart w:id="40" w:name="OLE_LINK101"/>
            <w:bookmarkStart w:id="41" w:name="OLE_LINK103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三维视角下新业态从业者劳动权益保障研究</w:t>
            </w:r>
            <w:bookmarkEnd w:id="39"/>
            <w:bookmarkEnd w:id="40"/>
            <w:bookmarkEnd w:id="41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2" w:name="OLE_LINK99"/>
            <w:bookmarkStart w:id="43" w:name="OLE_LINK10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安清峰</w:t>
            </w:r>
            <w:bookmarkEnd w:id="42"/>
            <w:bookmarkEnd w:id="43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4" w:name="OLE_LINK58"/>
            <w:bookmarkStart w:id="45" w:name="OLE_LINK57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鹤壁职业技术学院</w:t>
            </w:r>
            <w:bookmarkEnd w:id="44"/>
            <w:bookmarkEnd w:id="45"/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HBLS(2025)15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新业态背景下网络平台灵活就业人员的劳动权益保护问题研究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6" w:name="OLE_LINK105"/>
            <w:bookmarkStart w:id="47" w:name="OLE_LINK104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李振亚</w:t>
            </w:r>
            <w:bookmarkEnd w:id="46"/>
            <w:bookmarkEnd w:id="47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鹤山区法院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HBLS(2025)16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48" w:name="OLE_LINK15"/>
            <w:bookmarkStart w:id="49" w:name="OLE_LINK16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平台从业者劳动权益保障研究</w:t>
            </w:r>
            <w:bookmarkEnd w:id="48"/>
            <w:bookmarkEnd w:id="49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0" w:name="OLE_LINK13"/>
            <w:bookmarkStart w:id="51" w:name="OLE_LINK14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何李帅</w:t>
            </w:r>
            <w:bookmarkEnd w:id="50"/>
            <w:bookmarkEnd w:id="51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2" w:name="OLE_LINK59"/>
            <w:bookmarkStart w:id="53" w:name="OLE_LINK6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市文化市场综合行政执法支队</w:t>
            </w:r>
            <w:bookmarkEnd w:id="52"/>
            <w:bookmarkEnd w:id="53"/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HBLS(2025)17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4" w:name="OLE_LINK20"/>
            <w:bookmarkStart w:id="55" w:name="OLE_LINK21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新业态劳动权益保障研究</w:t>
            </w:r>
            <w:bookmarkEnd w:id="54"/>
            <w:bookmarkEnd w:id="55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6" w:name="OLE_LINK19"/>
            <w:bookmarkStart w:id="57" w:name="OLE_LINK18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李连忠</w:t>
            </w:r>
            <w:bookmarkEnd w:id="56"/>
            <w:bookmarkEnd w:id="57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HBLS(2025)18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新业态劳动权益保障研究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58" w:name="OLE_LINK26"/>
            <w:bookmarkStart w:id="59" w:name="OLE_LINK27"/>
            <w:bookmarkStart w:id="60" w:name="OLE_LINK28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常保军</w:t>
            </w:r>
            <w:bookmarkEnd w:id="58"/>
            <w:bookmarkEnd w:id="59"/>
            <w:bookmarkEnd w:id="60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HBLS(2025)19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61" w:name="OLE_LINK38"/>
            <w:bookmarkStart w:id="62" w:name="OLE_LINK37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加快推进信访工作法治化</w:t>
            </w:r>
            <w:bookmarkEnd w:id="61"/>
            <w:bookmarkEnd w:id="62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63" w:name="OLE_LINK35"/>
            <w:bookmarkStart w:id="64" w:name="OLE_LINK36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徐如贺</w:t>
            </w:r>
            <w:bookmarkEnd w:id="63"/>
            <w:bookmarkEnd w:id="64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鹤壁市委党校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HBLS(2025)20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严重精神障碍患者管理服务救助法律问题的实践与研究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65" w:name="OLE_LINK39"/>
            <w:bookmarkStart w:id="66" w:name="OLE_LINK4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张梁琦</w:t>
            </w:r>
            <w:bookmarkEnd w:id="65"/>
            <w:bookmarkEnd w:id="66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67" w:name="_Hlk205373238"/>
            <w:r>
              <w:rPr>
                <w:rFonts w:ascii="Times New Roman" w:hAnsi="Times New Roman" w:cs="Times New Roman" w:hint="eastAsia"/>
                <w:sz w:val="24"/>
              </w:rPr>
              <w:t>HBLS(2025)21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68" w:name="OLE_LINK48"/>
            <w:bookmarkStart w:id="69" w:name="OLE_LINK47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新时代背景下刑满释放人员安置帮教及再犯预防研究</w:t>
            </w:r>
            <w:bookmarkEnd w:id="68"/>
            <w:bookmarkEnd w:id="69"/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70" w:name="OLE_LINK45"/>
            <w:bookmarkStart w:id="71" w:name="OLE_LINK46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朱润明</w:t>
            </w:r>
            <w:bookmarkEnd w:id="70"/>
            <w:bookmarkEnd w:id="71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鹤山区检察院</w:t>
            </w:r>
          </w:p>
        </w:tc>
      </w:tr>
      <w:bookmarkEnd w:id="67"/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HBLS(2025)22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法治宣传中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AI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生成内容的版权归属与合规使用研究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72" w:name="OLE_LINK52"/>
            <w:bookmarkStart w:id="73" w:name="OLE_LINK55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莉</w:t>
            </w:r>
            <w:bookmarkEnd w:id="72"/>
            <w:bookmarkEnd w:id="73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鹤壁职业技术学院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HBLS(2025)23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法治化营商环境的实践困境与多维进路——以鹤壁市为例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74" w:name="OLE_LINK65"/>
            <w:bookmarkStart w:id="75" w:name="OLE_LINK66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缑会帅</w:t>
            </w:r>
            <w:bookmarkEnd w:id="74"/>
            <w:bookmarkEnd w:id="75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市营商环境和社会信用建设中心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HBLS(2025)24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数字经济视角下鹤壁营商环境法治化路径研究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76" w:name="OLE_LINK69"/>
            <w:bookmarkStart w:id="77" w:name="OLE_LINK7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温宏伟</w:t>
            </w:r>
            <w:bookmarkEnd w:id="76"/>
            <w:bookmarkEnd w:id="77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鹤壁技师学院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HBLS(2025)25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新时代“枫桥经验”促进基层社会治理法治化研究——以鹤壁市为例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78" w:name="OLE_LINK82"/>
            <w:bookmarkStart w:id="79" w:name="OLE_LINK81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领</w:t>
            </w:r>
            <w:bookmarkEnd w:id="78"/>
            <w:bookmarkEnd w:id="79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鹤壁市委党校</w:t>
            </w:r>
          </w:p>
        </w:tc>
      </w:tr>
      <w:tr w:rsidR="005031FC">
        <w:trPr>
          <w:trHeight w:hRule="exact" w:val="795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HBLS(2025)26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基层社会治理法治化与“枫桥经验”鹤壁实践研究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80" w:name="OLE_LINK87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刘振月</w:t>
            </w:r>
            <w:bookmarkEnd w:id="80"/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鹤壁职业技术学院</w:t>
            </w:r>
          </w:p>
        </w:tc>
      </w:tr>
      <w:tr w:rsidR="005031FC">
        <w:trPr>
          <w:trHeight w:hRule="exact" w:val="848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HBLS(2025)27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行刑反向衔接“可罚性”标准完善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郑月鹏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山城区检察院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HBLS(2025)28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妇女权益保护检察公益诉前联动机制研究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范华伟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浚县检察院</w:t>
            </w:r>
          </w:p>
        </w:tc>
      </w:tr>
      <w:tr w:rsidR="005031FC">
        <w:trPr>
          <w:trHeight w:hRule="exact" w:val="78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HBLS(2025)29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如何构筑新时代反腐败斗争防火墙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蘧焕民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淇县县委巡察办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HBLS(2025)30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鹤壁民生领域“急难愁盼”问题的法治化解决路径研究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江文娟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5031FC">
        <w:trPr>
          <w:trHeight w:hRule="exact" w:val="801"/>
          <w:jc w:val="center"/>
        </w:trPr>
        <w:tc>
          <w:tcPr>
            <w:tcW w:w="9338" w:type="dxa"/>
            <w:gridSpan w:val="4"/>
            <w:vAlign w:val="center"/>
          </w:tcPr>
          <w:p w:rsidR="005031FC" w:rsidRDefault="00F1642A">
            <w:pPr>
              <w:pStyle w:val="ab"/>
              <w:ind w:firstLineChars="0" w:firstLine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自选课题</w:t>
            </w:r>
          </w:p>
        </w:tc>
      </w:tr>
      <w:tr w:rsidR="005031FC">
        <w:trPr>
          <w:trHeight w:hRule="exact" w:val="755"/>
          <w:jc w:val="center"/>
        </w:trPr>
        <w:tc>
          <w:tcPr>
            <w:tcW w:w="1789" w:type="dxa"/>
          </w:tcPr>
          <w:p w:rsidR="005031FC" w:rsidRDefault="00F1642A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立项编号</w:t>
            </w:r>
          </w:p>
        </w:tc>
        <w:tc>
          <w:tcPr>
            <w:tcW w:w="4156" w:type="dxa"/>
          </w:tcPr>
          <w:p w:rsidR="005031FC" w:rsidRDefault="00F1642A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989" w:type="dxa"/>
          </w:tcPr>
          <w:p w:rsidR="005031FC" w:rsidRDefault="00F1642A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主持人</w:t>
            </w:r>
          </w:p>
        </w:tc>
        <w:tc>
          <w:tcPr>
            <w:tcW w:w="2404" w:type="dxa"/>
          </w:tcPr>
          <w:p w:rsidR="005031FC" w:rsidRDefault="00F1642A">
            <w:pPr>
              <w:pStyle w:val="ab"/>
              <w:ind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所在单位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HBLS(2025)31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习近平法治思想引领政法工作高质量发展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高鸿飞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HBLS(2025)32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论我国民营经济高质量发展中法院责任的设定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常海霞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鹤山区法院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HBLS(2025)33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网络安全与数据安全的法律研究与政务领域鹤壁实践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马艳丽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7"/>
                <w:kern w:val="0"/>
                <w:sz w:val="24"/>
              </w:rPr>
              <w:t>鹤壁</w:t>
            </w:r>
            <w:r>
              <w:rPr>
                <w:rFonts w:ascii="仿宋_GB2312" w:eastAsia="仿宋_GB2312" w:hAnsi="宋体" w:cs="仿宋_GB2312" w:hint="eastAsia"/>
                <w:color w:val="000000"/>
                <w:spacing w:val="-17"/>
                <w:kern w:val="0"/>
                <w:sz w:val="24"/>
              </w:rPr>
              <w:t>市政务大数据中心</w:t>
            </w:r>
          </w:p>
        </w:tc>
      </w:tr>
      <w:tr w:rsidR="005031FC">
        <w:trPr>
          <w:trHeight w:hRule="exact" w:val="759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HBLS(2025)34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鹤壁发展新质生产力法治保障研究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吴青艳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7"/>
                <w:kern w:val="0"/>
                <w:sz w:val="24"/>
              </w:rPr>
              <w:t>宇通客车股份有限公司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HBLS(2025)35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鹤壁市发展新质生产力法治保障研究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韩红梅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7"/>
                <w:kern w:val="0"/>
                <w:sz w:val="24"/>
              </w:rPr>
              <w:t>鹤壁能源化工职业学院</w:t>
            </w:r>
          </w:p>
        </w:tc>
      </w:tr>
      <w:tr w:rsidR="005031FC">
        <w:trPr>
          <w:trHeight w:hRule="exact" w:val="784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HBLS(2025)36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刑事不起诉质效分析与规范适用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骁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山城区检察院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HBLS(2025)37</w:t>
            </w:r>
          </w:p>
        </w:tc>
        <w:tc>
          <w:tcPr>
            <w:tcW w:w="4156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预防未成年人违法犯罪的实践与研究</w:t>
            </w:r>
          </w:p>
        </w:tc>
        <w:tc>
          <w:tcPr>
            <w:tcW w:w="989" w:type="dxa"/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孙战胜</w:t>
            </w:r>
          </w:p>
        </w:tc>
        <w:tc>
          <w:tcPr>
            <w:tcW w:w="2404" w:type="dxa"/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淇县高村镇杨晋庄中心小学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38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新时代志愿者参与留守儿童法治教育的创新模式与实践效能研究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张志刚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鹤山区教体局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39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网络时代未成年人犯罪防范及学校干预机制衔接研究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李旭元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鹤山区中山中学</w:t>
            </w:r>
          </w:p>
        </w:tc>
      </w:tr>
      <w:tr w:rsidR="005031FC">
        <w:trPr>
          <w:trHeight w:hRule="exact" w:val="75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40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小学模拟法庭实践对未成年人法律思维启蒙研究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君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鹤山区中新小学</w:t>
            </w:r>
          </w:p>
        </w:tc>
      </w:tr>
      <w:tr w:rsidR="005031FC">
        <w:trPr>
          <w:trHeight w:hRule="exact" w:val="81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41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预防未成年人违法犯罪的实践与研究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吴莎莎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浚县检察院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42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新时代基层信访工作法治化实践路径研究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刁晓辉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鹤壁市委党校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43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加快推进信访法治化——以基层检察院发挥控告申诉检察职能推进信访法治化的实践为例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赵梦茹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44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bookmarkStart w:id="81" w:name="OLE_LINK95"/>
            <w:bookmarkStart w:id="82" w:name="OLE_LINK94"/>
            <w:bookmarkStart w:id="83" w:name="OLE_LINK96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严重精神障碍患者管理服务救助法律问题的实践与研究</w:t>
            </w:r>
            <w:bookmarkEnd w:id="81"/>
            <w:bookmarkEnd w:id="82"/>
            <w:bookmarkEnd w:id="83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秦海霞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45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新时代背景下刑满释放人员安置帮教及再犯预防研究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彬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山城区司法局</w:t>
            </w:r>
          </w:p>
        </w:tc>
      </w:tr>
      <w:tr w:rsidR="005031FC">
        <w:trPr>
          <w:trHeight w:hRule="exact" w:val="911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46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短视频在法治宣传教育中的应用研究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贾夕昕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鹤壁职业技术学院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47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基层检察机关运用新媒体开展法治宣传的实践与研究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聪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鹤山区检察院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48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人民法庭践行新时代“枫桥经验”参与基层社会治理的路径研究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康利利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淇县法院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49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基层政法单位营造法治化环境的创新路径研究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淇滨区检察院</w:t>
            </w:r>
          </w:p>
        </w:tc>
      </w:tr>
      <w:tr w:rsidR="005031FC">
        <w:trPr>
          <w:trHeight w:hRule="exact" w:val="90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pStyle w:val="ab"/>
              <w:spacing w:line="44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HBLS(2025)</w:t>
            </w:r>
            <w:r>
              <w:rPr>
                <w:rFonts w:ascii="Times New Roman" w:hAnsi="Times New Roman" w:cs="Times New Roman" w:hint="eastAsia"/>
                <w:sz w:val="24"/>
              </w:rPr>
              <w:t>50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新时代反腐败斗争研究——隐性受贿犯罪认定研究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路浩龙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FC" w:rsidRDefault="00F1642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淇县检察院</w:t>
            </w:r>
          </w:p>
        </w:tc>
      </w:tr>
    </w:tbl>
    <w:p w:rsidR="005031FC" w:rsidRDefault="005031FC" w:rsidP="0095158B">
      <w:pPr>
        <w:pStyle w:val="a4"/>
        <w:spacing w:after="0" w:line="580" w:lineRule="exact"/>
        <w:ind w:firstLineChars="0" w:firstLine="0"/>
        <w:rPr>
          <w:rFonts w:ascii="仿宋_GB2312" w:hAnsi="仿宋_GB2312" w:cs="仿宋_GB2312"/>
          <w:sz w:val="24"/>
        </w:rPr>
      </w:pPr>
    </w:p>
    <w:sectPr w:rsidR="005031FC" w:rsidSect="005031FC">
      <w:footerReference w:type="default" r:id="rId7"/>
      <w:pgSz w:w="11906" w:h="16838"/>
      <w:pgMar w:top="1984" w:right="1531" w:bottom="1984" w:left="1531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2A" w:rsidRDefault="00F1642A" w:rsidP="005031FC">
      <w:r>
        <w:separator/>
      </w:r>
    </w:p>
  </w:endnote>
  <w:endnote w:type="continuationSeparator" w:id="0">
    <w:p w:rsidR="00F1642A" w:rsidRDefault="00F1642A" w:rsidP="0050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FC" w:rsidRDefault="005031F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5031FC" w:rsidRDefault="00F1642A">
                <w:pPr>
                  <w:pStyle w:val="a6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5031F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5031F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95158B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5031FC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2A" w:rsidRDefault="00F1642A" w:rsidP="005031FC">
      <w:r>
        <w:separator/>
      </w:r>
    </w:p>
  </w:footnote>
  <w:footnote w:type="continuationSeparator" w:id="0">
    <w:p w:rsidR="00F1642A" w:rsidRDefault="00F1642A" w:rsidP="00503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ZjNDE3YjgzZTc4ZTNkZmMyZDAzY2ZjNzU4YzRjYTIifQ=="/>
  </w:docVars>
  <w:rsids>
    <w:rsidRoot w:val="00C83AF0"/>
    <w:rsid w:val="B7D96D8A"/>
    <w:rsid w:val="00017661"/>
    <w:rsid w:val="000445F0"/>
    <w:rsid w:val="000B2F28"/>
    <w:rsid w:val="000B3275"/>
    <w:rsid w:val="000B5D8A"/>
    <w:rsid w:val="000F1AB2"/>
    <w:rsid w:val="001355D6"/>
    <w:rsid w:val="001930A9"/>
    <w:rsid w:val="001C2201"/>
    <w:rsid w:val="00204171"/>
    <w:rsid w:val="002B487A"/>
    <w:rsid w:val="003167AB"/>
    <w:rsid w:val="00367AC8"/>
    <w:rsid w:val="004076F1"/>
    <w:rsid w:val="00413920"/>
    <w:rsid w:val="00436A91"/>
    <w:rsid w:val="004455DB"/>
    <w:rsid w:val="00472921"/>
    <w:rsid w:val="00482ECF"/>
    <w:rsid w:val="00485E9C"/>
    <w:rsid w:val="004A450E"/>
    <w:rsid w:val="005031FC"/>
    <w:rsid w:val="005158C5"/>
    <w:rsid w:val="0053306E"/>
    <w:rsid w:val="00580746"/>
    <w:rsid w:val="005B06D7"/>
    <w:rsid w:val="005E565D"/>
    <w:rsid w:val="005F08EB"/>
    <w:rsid w:val="005F11B8"/>
    <w:rsid w:val="006465A6"/>
    <w:rsid w:val="006639D9"/>
    <w:rsid w:val="006F3676"/>
    <w:rsid w:val="00733159"/>
    <w:rsid w:val="00733EFD"/>
    <w:rsid w:val="0073756D"/>
    <w:rsid w:val="007658C1"/>
    <w:rsid w:val="00781DC3"/>
    <w:rsid w:val="007F6B86"/>
    <w:rsid w:val="00817D59"/>
    <w:rsid w:val="0084640F"/>
    <w:rsid w:val="008539C2"/>
    <w:rsid w:val="00867642"/>
    <w:rsid w:val="008A69E4"/>
    <w:rsid w:val="008C7AF3"/>
    <w:rsid w:val="008D01B2"/>
    <w:rsid w:val="00904385"/>
    <w:rsid w:val="0095158B"/>
    <w:rsid w:val="00961B83"/>
    <w:rsid w:val="00970970"/>
    <w:rsid w:val="009A47C5"/>
    <w:rsid w:val="00A91173"/>
    <w:rsid w:val="00AA653F"/>
    <w:rsid w:val="00AD583C"/>
    <w:rsid w:val="00B042E9"/>
    <w:rsid w:val="00B57742"/>
    <w:rsid w:val="00BB6BAF"/>
    <w:rsid w:val="00C251DB"/>
    <w:rsid w:val="00C728CC"/>
    <w:rsid w:val="00C83AF0"/>
    <w:rsid w:val="00C84B1E"/>
    <w:rsid w:val="00CD4DD6"/>
    <w:rsid w:val="00CD7600"/>
    <w:rsid w:val="00D94262"/>
    <w:rsid w:val="00DA2D81"/>
    <w:rsid w:val="00DA40FA"/>
    <w:rsid w:val="00DD7BF7"/>
    <w:rsid w:val="00DE1534"/>
    <w:rsid w:val="00E33E0C"/>
    <w:rsid w:val="00E87010"/>
    <w:rsid w:val="00EB54EC"/>
    <w:rsid w:val="00EC25C0"/>
    <w:rsid w:val="00F02CA3"/>
    <w:rsid w:val="00F1642A"/>
    <w:rsid w:val="00F46390"/>
    <w:rsid w:val="00F5301A"/>
    <w:rsid w:val="00F93609"/>
    <w:rsid w:val="00FC0283"/>
    <w:rsid w:val="00FC1378"/>
    <w:rsid w:val="07921036"/>
    <w:rsid w:val="079C1967"/>
    <w:rsid w:val="0C323E6E"/>
    <w:rsid w:val="0DB61D9C"/>
    <w:rsid w:val="0FC40392"/>
    <w:rsid w:val="0FE53AC9"/>
    <w:rsid w:val="116E0A87"/>
    <w:rsid w:val="12275DB8"/>
    <w:rsid w:val="1825251C"/>
    <w:rsid w:val="1B8151F1"/>
    <w:rsid w:val="1D682B0D"/>
    <w:rsid w:val="2555425C"/>
    <w:rsid w:val="27D52B4D"/>
    <w:rsid w:val="2B2C7255"/>
    <w:rsid w:val="2B3310D8"/>
    <w:rsid w:val="2FB76FDC"/>
    <w:rsid w:val="356C6511"/>
    <w:rsid w:val="36316A75"/>
    <w:rsid w:val="3D1E069A"/>
    <w:rsid w:val="3EC82FB3"/>
    <w:rsid w:val="3F2A2EB3"/>
    <w:rsid w:val="40DB5C6A"/>
    <w:rsid w:val="4393540E"/>
    <w:rsid w:val="4A7C3C36"/>
    <w:rsid w:val="4AA743C5"/>
    <w:rsid w:val="4CAC181F"/>
    <w:rsid w:val="4DF92C5A"/>
    <w:rsid w:val="51817B60"/>
    <w:rsid w:val="53BF46CC"/>
    <w:rsid w:val="553D0A09"/>
    <w:rsid w:val="55A04BA4"/>
    <w:rsid w:val="55E14B23"/>
    <w:rsid w:val="562B35FC"/>
    <w:rsid w:val="57CF14A7"/>
    <w:rsid w:val="581E000C"/>
    <w:rsid w:val="5980475F"/>
    <w:rsid w:val="59BE5287"/>
    <w:rsid w:val="5A6F322D"/>
    <w:rsid w:val="5D322054"/>
    <w:rsid w:val="60473B82"/>
    <w:rsid w:val="6065128A"/>
    <w:rsid w:val="60C00C59"/>
    <w:rsid w:val="64733A58"/>
    <w:rsid w:val="66482160"/>
    <w:rsid w:val="685B78EB"/>
    <w:rsid w:val="71CA5BA8"/>
    <w:rsid w:val="73107762"/>
    <w:rsid w:val="74C07D73"/>
    <w:rsid w:val="76EC6B38"/>
    <w:rsid w:val="78BB2C66"/>
    <w:rsid w:val="7BDC6B08"/>
    <w:rsid w:val="7C710844"/>
    <w:rsid w:val="7D95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Body Text First Indent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1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031FC"/>
    <w:pPr>
      <w:keepNext/>
      <w:keepLines/>
      <w:adjustRightInd w:val="0"/>
      <w:snapToGrid w:val="0"/>
      <w:spacing w:line="580" w:lineRule="exact"/>
      <w:jc w:val="center"/>
      <w:outlineLvl w:val="0"/>
    </w:pPr>
    <w:rPr>
      <w:rFonts w:eastAsia="方正小标宋简体"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qFormat/>
    <w:rsid w:val="005031FC"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szCs w:val="20"/>
    </w:rPr>
  </w:style>
  <w:style w:type="paragraph" w:styleId="a4">
    <w:name w:val="Body Text First Indent"/>
    <w:basedOn w:val="a5"/>
    <w:qFormat/>
    <w:rsid w:val="005031FC"/>
    <w:pPr>
      <w:ind w:firstLineChars="100" w:firstLine="420"/>
    </w:pPr>
    <w:rPr>
      <w:rFonts w:ascii="Calibri" w:eastAsia="仿宋_GB2312" w:hAnsi="Calibri"/>
      <w:sz w:val="32"/>
    </w:rPr>
  </w:style>
  <w:style w:type="paragraph" w:styleId="a5">
    <w:name w:val="Body Text"/>
    <w:basedOn w:val="a"/>
    <w:next w:val="2"/>
    <w:unhideWhenUsed/>
    <w:qFormat/>
    <w:rsid w:val="005031FC"/>
    <w:pPr>
      <w:spacing w:after="120"/>
    </w:pPr>
  </w:style>
  <w:style w:type="paragraph" w:styleId="2">
    <w:name w:val="Body Text 2"/>
    <w:basedOn w:val="a"/>
    <w:qFormat/>
    <w:rsid w:val="005031FC"/>
    <w:pPr>
      <w:spacing w:line="480" w:lineRule="auto"/>
    </w:pPr>
  </w:style>
  <w:style w:type="paragraph" w:styleId="a6">
    <w:name w:val="footer"/>
    <w:basedOn w:val="a"/>
    <w:uiPriority w:val="99"/>
    <w:unhideWhenUsed/>
    <w:qFormat/>
    <w:rsid w:val="005031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qFormat/>
    <w:rsid w:val="005031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link w:val="Char"/>
    <w:qFormat/>
    <w:rsid w:val="005031FC"/>
    <w:pPr>
      <w:snapToGrid w:val="0"/>
      <w:jc w:val="left"/>
    </w:pPr>
    <w:rPr>
      <w:rFonts w:eastAsia="宋体"/>
      <w:sz w:val="18"/>
    </w:rPr>
  </w:style>
  <w:style w:type="table" w:styleId="a9">
    <w:name w:val="Table Grid"/>
    <w:basedOn w:val="a1"/>
    <w:qFormat/>
    <w:rsid w:val="005031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5031FC"/>
    <w:rPr>
      <w:color w:val="0000FF"/>
      <w:u w:val="single"/>
    </w:rPr>
  </w:style>
  <w:style w:type="character" w:customStyle="1" w:styleId="Char">
    <w:name w:val="脚注文本 Char"/>
    <w:basedOn w:val="a0"/>
    <w:link w:val="a8"/>
    <w:uiPriority w:val="99"/>
    <w:qFormat/>
    <w:rsid w:val="005031FC"/>
    <w:rPr>
      <w:rFonts w:asciiTheme="minorHAnsi" w:eastAsia="宋体" w:hAnsiTheme="minorHAnsi" w:cstheme="minorBidi"/>
      <w:sz w:val="18"/>
      <w:szCs w:val="18"/>
    </w:rPr>
  </w:style>
  <w:style w:type="paragraph" w:customStyle="1" w:styleId="ab">
    <w:name w:val="正文段落"/>
    <w:basedOn w:val="a"/>
    <w:qFormat/>
    <w:rsid w:val="005031FC"/>
    <w:pPr>
      <w:adjustRightInd w:val="0"/>
      <w:snapToGrid w:val="0"/>
      <w:spacing w:line="580" w:lineRule="exact"/>
      <w:ind w:firstLineChars="200" w:firstLine="420"/>
    </w:pPr>
    <w:rPr>
      <w:rFonts w:eastAsia="仿宋_GB2312"/>
      <w:sz w:val="32"/>
    </w:rPr>
  </w:style>
  <w:style w:type="paragraph" w:customStyle="1" w:styleId="ac">
    <w:name w:val="一级标题"/>
    <w:basedOn w:val="a"/>
    <w:qFormat/>
    <w:rsid w:val="005031FC"/>
    <w:pPr>
      <w:adjustRightInd w:val="0"/>
      <w:snapToGrid w:val="0"/>
      <w:spacing w:line="580" w:lineRule="exact"/>
      <w:ind w:firstLineChars="200" w:firstLine="880"/>
      <w:jc w:val="left"/>
    </w:pPr>
    <w:rPr>
      <w:rFonts w:eastAsia="黑体"/>
      <w:sz w:val="32"/>
    </w:rPr>
  </w:style>
  <w:style w:type="paragraph" w:customStyle="1" w:styleId="ad">
    <w:name w:val="文章标题"/>
    <w:basedOn w:val="a"/>
    <w:qFormat/>
    <w:rsid w:val="005031FC"/>
    <w:pPr>
      <w:adjustRightInd w:val="0"/>
      <w:snapToGrid w:val="0"/>
      <w:spacing w:line="580" w:lineRule="exact"/>
      <w:jc w:val="center"/>
    </w:pPr>
    <w:rPr>
      <w:rFonts w:eastAsia="方正小标宋简体"/>
      <w:sz w:val="44"/>
    </w:rPr>
  </w:style>
  <w:style w:type="paragraph" w:customStyle="1" w:styleId="ae">
    <w:name w:val="二级标题"/>
    <w:basedOn w:val="a"/>
    <w:qFormat/>
    <w:rsid w:val="005031FC"/>
    <w:pPr>
      <w:adjustRightInd w:val="0"/>
      <w:snapToGrid w:val="0"/>
      <w:spacing w:line="580" w:lineRule="exact"/>
      <w:ind w:firstLineChars="200" w:firstLine="880"/>
      <w:jc w:val="left"/>
    </w:pPr>
    <w:rPr>
      <w:rFonts w:eastAsia="楷体_GB2312"/>
      <w:sz w:val="32"/>
    </w:rPr>
  </w:style>
  <w:style w:type="character" w:customStyle="1" w:styleId="NormalCharacter">
    <w:name w:val="NormalCharacter"/>
    <w:qFormat/>
    <w:rsid w:val="005031FC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cp:lastPrinted>2025-08-18T17:36:00Z</cp:lastPrinted>
  <dcterms:created xsi:type="dcterms:W3CDTF">2020-12-14T08:40:00Z</dcterms:created>
  <dcterms:modified xsi:type="dcterms:W3CDTF">2025-08-19T00:47:00Z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A33023AAB93444B5ADC715D3DF46F25F_13</vt:lpwstr>
  </property>
</Properties>
</file>