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color w:val="FF0000"/>
          <w:sz w:val="32"/>
          <w:szCs w:val="32"/>
        </w:rPr>
      </w:pPr>
      <w:bookmarkStart w:id="0" w:name="_GoBack"/>
      <w:bookmarkEnd w:id="0"/>
      <w:r>
        <w:rPr>
          <w:rFonts w:hint="eastAsia" w:asciiTheme="minorEastAsia" w:hAnsiTheme="minorEastAsia"/>
          <w:color w:val="FF0000"/>
          <w:sz w:val="32"/>
          <w:szCs w:val="32"/>
        </w:rPr>
        <w:t>（成果专报样本，仅供参考，正式打印时红色内容请删除。）</w:t>
      </w:r>
    </w:p>
    <w:p>
      <w:pPr>
        <w:spacing w:line="360" w:lineRule="auto"/>
        <w:rPr>
          <w:rFonts w:hint="eastAsia" w:asciiTheme="minorEastAsia" w:hAnsiTheme="minorEastAsia"/>
          <w:color w:val="FF0000"/>
          <w:sz w:val="32"/>
          <w:szCs w:val="32"/>
        </w:rPr>
      </w:pPr>
      <w:r>
        <w:rPr>
          <w:rFonts w:asciiTheme="minorEastAsia" w:hAnsiTheme="minorEastAsia"/>
          <w:color w:val="FF0000"/>
          <w:sz w:val="32"/>
          <w:szCs w:val="32"/>
        </w:rPr>
        <w:t>以建议内容为主，适当描述现状及原因。文字简练。</w:t>
      </w:r>
    </w:p>
    <w:p>
      <w:pPr>
        <w:spacing w:line="360" w:lineRule="auto"/>
        <w:rPr>
          <w:rFonts w:ascii="黑体" w:hAnsi="黑体" w:eastAsia="黑体"/>
          <w:color w:val="000000" w:themeColor="text1"/>
          <w:sz w:val="32"/>
          <w:szCs w:val="32"/>
        </w:rPr>
      </w:pPr>
      <w:r>
        <w:rPr>
          <w:rFonts w:hint="eastAsia" w:ascii="黑体" w:hAnsi="黑体" w:eastAsia="黑体"/>
          <w:color w:val="000000" w:themeColor="text1"/>
          <w:sz w:val="32"/>
          <w:szCs w:val="32"/>
        </w:rPr>
        <w:t>2</w:t>
      </w:r>
      <w:r>
        <w:rPr>
          <w:rFonts w:ascii="黑体" w:hAnsi="黑体" w:eastAsia="黑体"/>
          <w:color w:val="000000" w:themeColor="text1"/>
          <w:sz w:val="32"/>
          <w:szCs w:val="32"/>
        </w:rPr>
        <w:t>017年度“河南省法学研究课题”成果专报</w:t>
      </w:r>
    </w:p>
    <w:p>
      <w:pPr>
        <w:spacing w:line="360" w:lineRule="auto"/>
        <w:rPr>
          <w:rFonts w:ascii="黑体" w:hAnsi="黑体" w:eastAsia="黑体"/>
          <w:color w:val="000000" w:themeColor="text1"/>
          <w:sz w:val="32"/>
          <w:szCs w:val="32"/>
        </w:rPr>
      </w:pPr>
      <w:r>
        <w:rPr>
          <w:rFonts w:ascii="黑体" w:hAnsi="黑体" w:eastAsia="黑体"/>
          <w:color w:val="000000" w:themeColor="text1"/>
          <w:sz w:val="32"/>
          <w:szCs w:val="32"/>
        </w:rPr>
        <w:t>立项编号</w:t>
      </w:r>
    </w:p>
    <w:p>
      <w:pPr>
        <w:spacing w:line="360" w:lineRule="auto"/>
        <w:rPr>
          <w:rFonts w:ascii="黑体" w:hAnsi="黑体" w:eastAsia="黑体"/>
          <w:color w:val="000000" w:themeColor="text1"/>
          <w:sz w:val="32"/>
          <w:szCs w:val="32"/>
        </w:rPr>
      </w:pPr>
      <w:r>
        <w:rPr>
          <w:rFonts w:ascii="黑体" w:hAnsi="黑体" w:eastAsia="黑体"/>
          <w:color w:val="000000" w:themeColor="text1"/>
          <w:sz w:val="32"/>
          <w:szCs w:val="32"/>
        </w:rPr>
        <w:t>课题名称</w:t>
      </w:r>
    </w:p>
    <w:p>
      <w:pPr>
        <w:spacing w:line="360" w:lineRule="auto"/>
        <w:rPr>
          <w:rFonts w:ascii="黑体" w:hAnsi="黑体" w:eastAsia="黑体"/>
          <w:color w:val="000000" w:themeColor="text1"/>
          <w:sz w:val="32"/>
          <w:szCs w:val="32"/>
        </w:rPr>
      </w:pPr>
      <w:r>
        <w:rPr>
          <w:rFonts w:ascii="黑体" w:hAnsi="黑体" w:eastAsia="黑体"/>
          <w:color w:val="000000" w:themeColor="text1"/>
          <w:sz w:val="32"/>
          <w:szCs w:val="32"/>
        </w:rPr>
        <w:t>主持人及主要参加人（姓名单位职务职称）</w:t>
      </w:r>
    </w:p>
    <w:p>
      <w:pPr>
        <w:spacing w:line="360" w:lineRule="auto"/>
        <w:rPr>
          <w:rFonts w:hint="eastAsia" w:ascii="方正小标宋简体" w:eastAsia="方正小标宋简体"/>
          <w:sz w:val="44"/>
          <w:szCs w:val="32"/>
        </w:rPr>
      </w:pPr>
    </w:p>
    <w:p>
      <w:pPr>
        <w:spacing w:line="360" w:lineRule="auto"/>
        <w:jc w:val="center"/>
        <w:rPr>
          <w:rFonts w:ascii="方正小标宋简体" w:eastAsia="方正小标宋简体"/>
          <w:sz w:val="44"/>
          <w:szCs w:val="32"/>
        </w:rPr>
      </w:pPr>
      <w:r>
        <w:rPr>
          <w:rFonts w:hint="eastAsia" w:ascii="方正小标宋简体" w:eastAsia="方正小标宋简体"/>
          <w:sz w:val="44"/>
          <w:szCs w:val="32"/>
        </w:rPr>
        <w:t>加快推进河南省应对气候变化立法的建议</w:t>
      </w:r>
    </w:p>
    <w:p>
      <w:pPr>
        <w:spacing w:line="360" w:lineRule="auto"/>
        <w:ind w:firstLine="440" w:firstLineChars="200"/>
        <w:rPr>
          <w:rFonts w:ascii="仿宋_GB2312" w:eastAsia="仿宋_GB2312"/>
          <w:sz w:val="22"/>
          <w:szCs w:val="32"/>
        </w:rPr>
      </w:pPr>
    </w:p>
    <w:p>
      <w:pPr>
        <w:spacing w:line="336" w:lineRule="auto"/>
        <w:ind w:firstLine="640" w:firstLineChars="200"/>
        <w:rPr>
          <w:rFonts w:ascii="仿宋_GB2312" w:eastAsia="仿宋_GB2312"/>
          <w:sz w:val="32"/>
          <w:szCs w:val="32"/>
        </w:rPr>
      </w:pPr>
      <w:r>
        <w:rPr>
          <w:rFonts w:hint="eastAsia" w:ascii="仿宋_GB2312" w:eastAsia="仿宋_GB2312"/>
          <w:sz w:val="32"/>
          <w:szCs w:val="32"/>
        </w:rPr>
        <w:t>《河南省国民经济和社会发展第十三个五年规划纲要》将控制碳排放</w:t>
      </w:r>
      <w:r>
        <w:rPr>
          <w:rFonts w:hint="eastAsia" w:ascii="仿宋_GB2312" w:hAnsi="ˎ̥" w:eastAsia="仿宋_GB2312" w:cs="宋体"/>
          <w:color w:val="000000"/>
          <w:kern w:val="0"/>
          <w:sz w:val="32"/>
          <w:szCs w:val="32"/>
        </w:rPr>
        <w:t>总量</w:t>
      </w:r>
      <w:r>
        <w:rPr>
          <w:rFonts w:hint="eastAsia" w:ascii="仿宋_GB2312" w:eastAsia="仿宋_GB2312"/>
          <w:sz w:val="32"/>
          <w:szCs w:val="32"/>
        </w:rPr>
        <w:t>、</w:t>
      </w:r>
      <w:r>
        <w:rPr>
          <w:rFonts w:hint="eastAsia" w:ascii="仿宋_GB2312" w:hAnsi="ˎ̥" w:eastAsia="仿宋_GB2312" w:cs="宋体"/>
          <w:color w:val="000000"/>
          <w:kern w:val="0"/>
          <w:sz w:val="32"/>
          <w:szCs w:val="32"/>
        </w:rPr>
        <w:t>推进低碳发展、积极应对气候变化</w:t>
      </w:r>
      <w:r>
        <w:rPr>
          <w:rFonts w:hint="eastAsia" w:ascii="仿宋_GB2312" w:eastAsia="仿宋_GB2312"/>
          <w:sz w:val="32"/>
          <w:szCs w:val="32"/>
        </w:rPr>
        <w:t>作为河南推动绿色发展、加大环境治理的重要内容，数据表明我省面临着实现全省低碳转型和应对气候变化的艰巨任务。为此，</w:t>
      </w:r>
      <w:r>
        <w:rPr>
          <w:rFonts w:hint="eastAsia" w:ascii="仿宋_GB2312" w:eastAsia="仿宋_GB2312"/>
          <w:b/>
          <w:color w:val="000000" w:themeColor="text1"/>
          <w:sz w:val="32"/>
          <w:szCs w:val="32"/>
        </w:rPr>
        <w:t>天津大学法学院张建伟教授</w:t>
      </w:r>
      <w:r>
        <w:rPr>
          <w:rFonts w:hint="eastAsia" w:ascii="仿宋_GB2312" w:eastAsia="仿宋_GB2312"/>
          <w:sz w:val="32"/>
          <w:szCs w:val="32"/>
        </w:rPr>
        <w:t>承担的201</w:t>
      </w:r>
      <w:r>
        <w:rPr>
          <w:rFonts w:ascii="仿宋_GB2312" w:eastAsia="仿宋_GB2312"/>
          <w:sz w:val="32"/>
          <w:szCs w:val="32"/>
        </w:rPr>
        <w:t>7</w:t>
      </w:r>
      <w:r>
        <w:rPr>
          <w:rFonts w:hint="eastAsia" w:ascii="仿宋_GB2312" w:eastAsia="仿宋_GB2312"/>
          <w:sz w:val="32"/>
          <w:szCs w:val="32"/>
        </w:rPr>
        <w:t>年度河南省法学研究课题《河南省应对气候变化立法研究》提出以下建议。</w:t>
      </w:r>
    </w:p>
    <w:p>
      <w:pPr>
        <w:spacing w:line="336" w:lineRule="auto"/>
        <w:ind w:firstLine="640" w:firstLineChars="200"/>
        <w:rPr>
          <w:rFonts w:ascii="黑体" w:hAnsi="黑体" w:eastAsia="黑体"/>
          <w:sz w:val="32"/>
          <w:szCs w:val="32"/>
        </w:rPr>
      </w:pPr>
      <w:r>
        <w:rPr>
          <w:rFonts w:hint="eastAsia" w:ascii="黑体" w:hAnsi="黑体" w:eastAsia="黑体"/>
          <w:sz w:val="32"/>
          <w:szCs w:val="32"/>
        </w:rPr>
        <w:t>一、河南省加快应对气候变化立法的必要性</w:t>
      </w:r>
    </w:p>
    <w:p>
      <w:pPr>
        <w:spacing w:line="336" w:lineRule="auto"/>
        <w:ind w:firstLine="640" w:firstLineChars="200"/>
        <w:rPr>
          <w:rFonts w:ascii="仿宋_GB2312" w:eastAsia="仿宋_GB2312"/>
          <w:sz w:val="32"/>
          <w:szCs w:val="32"/>
        </w:rPr>
      </w:pPr>
      <w:r>
        <w:rPr>
          <w:rFonts w:hint="eastAsia" w:ascii="仿宋_GB2312" w:eastAsia="仿宋_GB2312"/>
          <w:sz w:val="32"/>
          <w:szCs w:val="32"/>
        </w:rPr>
        <w:t>国家应对气候变化承诺须转化为地方政府的具体行动。河南作为经济快速发展、温室气体伴生排放迅速增加的省份，势必会面临越来越重的减排控排任务压力，同时作为重要的全国粮食生产基地，气候变暖将影响到国家和我省的粮食供应安全。在既有政策成熟的基础上，将应对气候变化的任务以法律形式加以确立，是我省完成减排目标、实现低碳转型的必由之路。</w:t>
      </w:r>
    </w:p>
    <w:p>
      <w:pPr>
        <w:spacing w:line="336" w:lineRule="auto"/>
        <w:ind w:firstLine="640" w:firstLineChars="200"/>
        <w:rPr>
          <w:rFonts w:ascii="黑体" w:hAnsi="黑体" w:eastAsia="黑体"/>
          <w:sz w:val="32"/>
          <w:szCs w:val="32"/>
        </w:rPr>
      </w:pPr>
      <w:r>
        <w:rPr>
          <w:rFonts w:hint="eastAsia" w:ascii="黑体" w:hAnsi="黑体" w:eastAsia="黑体"/>
          <w:sz w:val="32"/>
          <w:szCs w:val="32"/>
        </w:rPr>
        <w:t>二、河南省加快应对气候变化立法的可行性</w:t>
      </w:r>
    </w:p>
    <w:p>
      <w:pPr>
        <w:spacing w:line="336" w:lineRule="auto"/>
        <w:ind w:firstLine="640" w:firstLineChars="200"/>
        <w:rPr>
          <w:rFonts w:ascii="仿宋_GB2312" w:eastAsia="仿宋_GB2312"/>
          <w:sz w:val="32"/>
          <w:szCs w:val="32"/>
        </w:rPr>
      </w:pPr>
      <w:r>
        <w:rPr>
          <w:rFonts w:hint="eastAsia" w:ascii="仿宋_GB2312" w:eastAsia="仿宋_GB2312"/>
          <w:sz w:val="32"/>
          <w:szCs w:val="32"/>
        </w:rPr>
        <w:t>我省应对气候变化立法时机已经成熟，相关政策实施经验为立法奠定了实践基础。先后出台《河南省“十三五”节能低碳发展规划》《河南省“十三五”控制温室气体排放工作实施方案》等政策性文件，《河南省大气污染防治条例》(草案)正在公开征求意见；相继开展“升气降煤”能源优化替代、核电站建设与可再生能源开发、传统工业领域转能升效、全省温室气体排放统计与核算等专项工作，同时将低碳因素融入到郑州航空港经济综合实验区等规划建设中。省法学会环境资源法学研究会、河南省环境智库提供重要智力支持。另外，在立法前期可行性论证研究、实地调研、立法规划、模式选择、立法内容设计等方面已开展了相关工作。</w:t>
      </w:r>
    </w:p>
    <w:p>
      <w:pPr>
        <w:spacing w:line="336" w:lineRule="auto"/>
        <w:ind w:firstLine="640" w:firstLineChars="200"/>
        <w:rPr>
          <w:rFonts w:ascii="黑体" w:hAnsi="黑体" w:eastAsia="黑体"/>
          <w:sz w:val="32"/>
          <w:szCs w:val="32"/>
        </w:rPr>
      </w:pPr>
      <w:r>
        <w:rPr>
          <w:rFonts w:hint="eastAsia" w:ascii="黑体" w:hAnsi="黑体" w:eastAsia="黑体"/>
          <w:sz w:val="32"/>
          <w:szCs w:val="32"/>
        </w:rPr>
        <w:t>三、河南省加快应对气候变化立法的建议</w:t>
      </w:r>
    </w:p>
    <w:p>
      <w:pPr>
        <w:spacing w:line="336" w:lineRule="auto"/>
        <w:ind w:firstLine="640" w:firstLineChars="200"/>
        <w:rPr>
          <w:rFonts w:ascii="仿宋_GB2312" w:eastAsia="仿宋_GB2312"/>
          <w:sz w:val="32"/>
          <w:szCs w:val="32"/>
        </w:rPr>
      </w:pPr>
      <w:r>
        <w:rPr>
          <w:rFonts w:hint="eastAsia" w:ascii="楷体_GB2312" w:eastAsia="楷体_GB2312"/>
          <w:sz w:val="32"/>
          <w:szCs w:val="32"/>
        </w:rPr>
        <w:t>（一）采取一步到位模式。</w:t>
      </w:r>
      <w:r>
        <w:rPr>
          <w:rFonts w:hint="eastAsia" w:ascii="仿宋_GB2312" w:eastAsia="仿宋_GB2312"/>
          <w:sz w:val="32"/>
          <w:szCs w:val="32"/>
        </w:rPr>
        <w:t>地方应对气候变化立法根据法律效力可以分为地方法规、政府令和一般规章。由省政府或其职能部门制定应对气候变化办法在法律效力上略显不足，建议省人大启动相关立法工作。虽然在国家应对气候变化缺位的情况下，一步到位制定我省条例难度较大，但鉴于其他省区渐进式立法效果不佳，快速推进路径符合现实需要，同时体现我省在此领域确立地方性法规的先行先试引领作用。颁行《河南省应对气候变化条例》作为我省应对气候变化立法工作的终极目标，可以对我省应对气候变化涉及的重大事项管理和处置作出全面、系统的规定。该条例如果颁行，向上可以衔接未来国家《应对气候变化基本法》，向下可以统领我省节约能源、提高能效、核能管理、以及促进可再生能源开发和利用、碳排放权交易等法律政策，同时可作为各省辖市立法依据。</w:t>
      </w:r>
    </w:p>
    <w:p>
      <w:pPr>
        <w:spacing w:line="336" w:lineRule="auto"/>
        <w:ind w:firstLine="640" w:firstLineChars="200"/>
        <w:rPr>
          <w:rFonts w:ascii="仿宋_GB2312" w:eastAsia="仿宋_GB2312"/>
          <w:sz w:val="32"/>
          <w:szCs w:val="32"/>
        </w:rPr>
      </w:pPr>
      <w:r>
        <w:rPr>
          <w:rFonts w:hint="eastAsia" w:ascii="楷体_GB2312" w:eastAsia="楷体_GB2312"/>
          <w:sz w:val="32"/>
          <w:szCs w:val="32"/>
        </w:rPr>
        <w:t>（二）平衡经济发展诉求并反映产业部门差异。</w:t>
      </w:r>
      <w:r>
        <w:rPr>
          <w:rFonts w:hint="eastAsia" w:ascii="仿宋_GB2312" w:eastAsia="仿宋_GB2312"/>
          <w:sz w:val="32"/>
          <w:szCs w:val="32"/>
        </w:rPr>
        <w:t>立法内容包括立法目的、法律基本原则、应对气候变化管理体制以及减缓与适应气候变化的具体制度。1.在立法目的与基本原则方面，应以绿色发展理念作为重要支撑，坚持应对气候变化与推进经济平稳较快发展相互促进的价值取向，同时兼顾效率与公平。2.在管理体制方面，应坚持省发改委在应对气候变化规划和管理中的主导作用，确立其与省经济信息、财政、金融、统计、环境保护部门的联动机制，可以考虑建立专门的联合工作组负责温室气体减排与大气污染防治。3.在具体制度中，低碳能源替代、核能开发与利用、传统工业部门调整与温室气体排放控制将是减缓重点领域。鉴于大气污染防治是我省环境治理的重点，减缓气候变化应考虑发挥大气污染治理协同效应需要，制定大气污染物与温室气体同步检测、报告和统计制度，构建钢铁、化工、建材、煤炭、焦化等重点行业温室气体排放与污染物的同步环境监管体系。考虑到气候变化已经产生的影响和威胁，我省在适应气候变化条款中应当围绕农业生产支持和调整、水资源利用和极端气候应对等领域展开。此外，具体制度还应当包含保障性条款，统筹应对气候变化的技术、资金领域等内容。</w:t>
      </w:r>
    </w:p>
    <w:p>
      <w:pPr>
        <w:spacing w:line="336" w:lineRule="auto"/>
        <w:ind w:firstLine="640" w:firstLineChars="200"/>
        <w:rPr>
          <w:rFonts w:ascii="仿宋_GB2312" w:eastAsia="仿宋_GB2312"/>
          <w:sz w:val="32"/>
          <w:szCs w:val="32"/>
        </w:rPr>
      </w:pPr>
      <w:r>
        <w:rPr>
          <w:rFonts w:hint="eastAsia" w:ascii="楷体_GB2312" w:eastAsia="楷体_GB2312"/>
          <w:sz w:val="32"/>
          <w:szCs w:val="32"/>
        </w:rPr>
        <w:t>（三）统筹兼顾省内不同情况并抑制省外高碳产业转移。</w:t>
      </w:r>
      <w:r>
        <w:rPr>
          <w:rFonts w:hint="eastAsia" w:ascii="仿宋_GB2312" w:eastAsia="仿宋_GB2312"/>
          <w:sz w:val="32"/>
          <w:szCs w:val="32"/>
        </w:rPr>
        <w:t>一方面，可能还会遇到内部不同利益诉求的地区之间如何进行立法协调的问题。18个省辖市之间资源基础不同，经济发展方式各异，“具体问题，具体应对”，针对某些地区可能遇到的应对气候变化特殊性问题，我省立法机关可以考虑对特殊地区进行区域立法，或者由具备立法权的较大市针对本辖区内应对气候变化的特殊问题进行单独立法，并报省人大批准或备案，从而保障河南省内部不同地区的应对气候变化的立法协调。另一方面，在我省加快承接产业转移进程中，也需要构建与完善产业引进的碳排放评估机制，减缓、控制、协调发达地区高碳排放产业在其碳管制法律和政策日趋严格的情形下向我省加速转移，避免和降低省际间碳泄漏问题的加剧。</w:t>
      </w:r>
    </w:p>
    <w:p>
      <w:pPr>
        <w:spacing w:line="580" w:lineRule="exact"/>
        <w:ind w:firstLine="640" w:firstLineChars="200"/>
        <w:contextualSpacing/>
        <w:rPr>
          <w:rFonts w:ascii="仿宋_GB2312" w:eastAsia="仿宋_GB2312"/>
          <w:sz w:val="32"/>
          <w:szCs w:val="32"/>
        </w:rPr>
      </w:pPr>
      <w:r>
        <w:rPr>
          <w:rFonts w:hint="eastAsia" w:ascii="楷体_GB2312" w:eastAsia="楷体_GB2312"/>
          <w:sz w:val="32"/>
          <w:szCs w:val="32"/>
        </w:rPr>
        <w:t>（四）强化能力建设并完善专家咨询机制。</w:t>
      </w:r>
      <w:r>
        <w:rPr>
          <w:rFonts w:hint="eastAsia" w:ascii="仿宋_GB2312" w:eastAsia="仿宋_GB2312"/>
          <w:sz w:val="32"/>
          <w:szCs w:val="32"/>
        </w:rPr>
        <w:t>应对气候变化立法涉及经济、能源、农业、环境、财政、金融、管理、网络技术等多方面的专业知识，需要多层次、跨领域的资源整合。为此，我省应积极形成上下联动、多方参与的工作格局，调动本省已有智力资源，同时积极吸引外部力量加入。可以依托省法学会环境资源法学研究会，集结应对气候变化领域省内外专家学者，为我省立法工作建言献策。同时，在加强应对气候变化立法的能力建设中，应畅通专业人士的制度化参与途径，通过组织课题招标、研讨会和论证会，逐步建立起我省应对气候变化立法能力建设的长效机制及配套的专家库。</w:t>
      </w:r>
    </w:p>
    <w:p>
      <w:pPr>
        <w:spacing w:line="580" w:lineRule="exact"/>
        <w:ind w:firstLine="320" w:firstLineChars="200"/>
        <w:contextualSpacing/>
        <w:rPr>
          <w:rFonts w:ascii="楷体_GB2312" w:hAnsi="宋体" w:eastAsia="楷体_GB2312"/>
          <w:color w:val="000000" w:themeColor="text1"/>
          <w:sz w:val="16"/>
          <w:szCs w:val="32"/>
        </w:rPr>
      </w:pPr>
    </w:p>
    <w:p>
      <w:pPr>
        <w:spacing w:line="580" w:lineRule="exact"/>
        <w:ind w:firstLine="320" w:firstLineChars="200"/>
        <w:contextualSpacing/>
        <w:rPr>
          <w:rFonts w:ascii="楷体_GB2312" w:hAnsi="宋体" w:eastAsia="楷体_GB2312"/>
          <w:color w:val="000000" w:themeColor="text1"/>
          <w:sz w:val="16"/>
          <w:szCs w:val="32"/>
        </w:rPr>
      </w:pPr>
    </w:p>
    <w:p>
      <w:pPr>
        <w:spacing w:line="580" w:lineRule="exact"/>
        <w:ind w:firstLine="320" w:firstLineChars="200"/>
        <w:contextualSpacing/>
        <w:rPr>
          <w:rFonts w:ascii="楷体_GB2312" w:hAnsi="宋体" w:eastAsia="楷体_GB2312"/>
          <w:color w:val="000000" w:themeColor="text1"/>
          <w:sz w:val="16"/>
          <w:szCs w:val="32"/>
        </w:rPr>
      </w:pPr>
    </w:p>
    <w:p>
      <w:pPr>
        <w:spacing w:line="580" w:lineRule="exact"/>
        <w:ind w:firstLine="320" w:firstLineChars="200"/>
        <w:contextualSpacing/>
        <w:rPr>
          <w:rFonts w:ascii="楷体_GB2312" w:hAnsi="宋体" w:eastAsia="楷体_GB2312"/>
          <w:color w:val="000000" w:themeColor="text1"/>
          <w:sz w:val="16"/>
          <w:szCs w:val="32"/>
        </w:rPr>
      </w:pPr>
    </w:p>
    <w:p>
      <w:pPr>
        <w:spacing w:line="580" w:lineRule="exact"/>
        <w:ind w:firstLine="320" w:firstLineChars="200"/>
        <w:contextualSpacing/>
        <w:rPr>
          <w:rFonts w:ascii="楷体_GB2312" w:hAnsi="宋体" w:eastAsia="楷体_GB2312"/>
          <w:color w:val="000000" w:themeColor="text1"/>
          <w:sz w:val="16"/>
          <w:szCs w:val="32"/>
        </w:rPr>
      </w:pPr>
    </w:p>
    <w:p>
      <w:pPr>
        <w:spacing w:line="580" w:lineRule="exact"/>
        <w:ind w:firstLine="320" w:firstLineChars="200"/>
        <w:contextualSpacing/>
        <w:rPr>
          <w:rFonts w:hint="eastAsia" w:ascii="楷体_GB2312" w:hAnsi="宋体" w:eastAsia="楷体_GB2312"/>
          <w:color w:val="000000" w:themeColor="text1"/>
          <w:sz w:val="16"/>
          <w:szCs w:val="32"/>
        </w:rPr>
      </w:pPr>
    </w:p>
    <w:p>
      <w:pPr>
        <w:spacing w:line="580" w:lineRule="exact"/>
        <w:ind w:firstLine="320" w:firstLineChars="200"/>
        <w:contextualSpacing/>
        <w:rPr>
          <w:rFonts w:ascii="楷体_GB2312" w:hAnsi="宋体" w:eastAsia="楷体_GB2312"/>
          <w:color w:val="000000" w:themeColor="text1"/>
          <w:sz w:val="16"/>
          <w:szCs w:val="32"/>
        </w:rPr>
      </w:pPr>
    </w:p>
    <w:p>
      <w:pPr>
        <w:spacing w:line="580" w:lineRule="exact"/>
        <w:ind w:firstLine="400" w:firstLineChars="200"/>
        <w:contextualSpacing/>
        <w:jc w:val="right"/>
        <w:rPr>
          <w:rFonts w:ascii="仿宋_GB2312" w:eastAsia="仿宋_GB2312"/>
          <w:color w:val="000000" w:themeColor="text1"/>
          <w:sz w:val="20"/>
          <w:szCs w:val="32"/>
        </w:rPr>
      </w:pPr>
    </w:p>
    <w:p>
      <w:pPr>
        <w:pStyle w:val="7"/>
        <w:shd w:val="clear" w:color="auto" w:fill="FFFFFF"/>
        <w:spacing w:before="0" w:beforeAutospacing="0" w:after="0" w:afterAutospacing="0" w:line="240" w:lineRule="exact"/>
        <w:ind w:firstLine="40" w:firstLineChars="200"/>
        <w:jc w:val="right"/>
        <w:rPr>
          <w:rFonts w:ascii="仿宋_GB2312" w:eastAsia="仿宋_GB2312"/>
          <w:color w:val="000000" w:themeColor="text1"/>
          <w:sz w:val="2"/>
          <w:szCs w:val="32"/>
        </w:rPr>
      </w:pPr>
    </w:p>
    <w:tbl>
      <w:tblPr>
        <w:tblStyle w:val="12"/>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8820" w:type="dxa"/>
            <w:tcBorders>
              <w:top w:val="single" w:color="auto" w:sz="8" w:space="0"/>
              <w:left w:val="nil"/>
              <w:bottom w:val="single" w:color="auto" w:sz="8" w:space="0"/>
              <w:right w:val="nil"/>
            </w:tcBorders>
          </w:tcPr>
          <w:p>
            <w:pPr>
              <w:spacing w:line="520" w:lineRule="exact"/>
              <w:ind w:left="560" w:hanging="560" w:hangingChars="200"/>
              <w:rPr>
                <w:rFonts w:ascii="仿宋_GB2312" w:hAnsi="宋体" w:eastAsia="仿宋_GB2312" w:cs="宋体"/>
                <w:color w:val="FF0000"/>
                <w:kern w:val="0"/>
                <w:sz w:val="28"/>
                <w:szCs w:val="28"/>
              </w:rPr>
            </w:pPr>
            <w:r>
              <w:rPr>
                <w:rFonts w:hint="eastAsia" w:ascii="仿宋_GB2312" w:hAnsi="宋体" w:eastAsia="仿宋_GB2312" w:cs="宋体"/>
                <w:color w:val="FF0000"/>
                <w:kern w:val="0"/>
                <w:sz w:val="28"/>
                <w:szCs w:val="28"/>
              </w:rPr>
              <w:t>报：中国法学会，省委，</w:t>
            </w:r>
            <w:r>
              <w:rPr>
                <w:rFonts w:ascii="仿宋_GB2312" w:hAnsi="宋体" w:eastAsia="仿宋_GB2312" w:cs="宋体"/>
                <w:color w:val="FF0000"/>
                <w:kern w:val="0"/>
                <w:sz w:val="28"/>
                <w:szCs w:val="28"/>
              </w:rPr>
              <w:t>省</w:t>
            </w:r>
            <w:r>
              <w:rPr>
                <w:rFonts w:hint="eastAsia" w:ascii="仿宋_GB2312" w:hAnsi="宋体" w:eastAsia="仿宋_GB2312" w:cs="宋体"/>
                <w:color w:val="FF0000"/>
                <w:kern w:val="0"/>
                <w:sz w:val="28"/>
                <w:szCs w:val="28"/>
              </w:rPr>
              <w:t>委</w:t>
            </w:r>
            <w:r>
              <w:rPr>
                <w:rFonts w:ascii="仿宋_GB2312" w:hAnsi="宋体" w:eastAsia="仿宋_GB2312" w:cs="宋体"/>
                <w:color w:val="FF0000"/>
                <w:kern w:val="0"/>
                <w:sz w:val="28"/>
                <w:szCs w:val="28"/>
              </w:rPr>
              <w:t>政法委</w:t>
            </w:r>
            <w:r>
              <w:rPr>
                <w:rFonts w:hint="eastAsia" w:ascii="仿宋_GB2312" w:hAnsi="宋体" w:eastAsia="仿宋_GB2312" w:cs="宋体"/>
                <w:color w:val="FF0000"/>
                <w:kern w:val="0"/>
                <w:sz w:val="28"/>
                <w:szCs w:val="28"/>
              </w:rPr>
              <w:t>。</w:t>
            </w:r>
          </w:p>
          <w:p>
            <w:pPr>
              <w:spacing w:line="520" w:lineRule="exact"/>
              <w:ind w:left="560" w:hanging="560" w:hangingChars="200"/>
              <w:rPr>
                <w:rFonts w:ascii="仿宋_GB2312" w:hAnsi="宋体" w:eastAsia="仿宋_GB2312" w:cs="宋体"/>
                <w:color w:val="FF0000"/>
                <w:kern w:val="0"/>
                <w:sz w:val="28"/>
                <w:szCs w:val="28"/>
              </w:rPr>
            </w:pPr>
            <w:r>
              <w:rPr>
                <w:rFonts w:hint="eastAsia" w:ascii="仿宋_GB2312" w:hAnsi="宋体" w:eastAsia="仿宋_GB2312" w:cs="宋体"/>
                <w:color w:val="FF0000"/>
                <w:kern w:val="0"/>
                <w:sz w:val="28"/>
                <w:szCs w:val="28"/>
              </w:rPr>
              <w:t>送：</w:t>
            </w:r>
            <w:r>
              <w:rPr>
                <w:rFonts w:ascii="仿宋_GB2312" w:hAnsi="宋体" w:eastAsia="仿宋_GB2312" w:cs="宋体"/>
                <w:color w:val="FF0000"/>
                <w:kern w:val="0"/>
                <w:sz w:val="28"/>
                <w:szCs w:val="28"/>
              </w:rPr>
              <w:t>省人大</w:t>
            </w:r>
            <w:r>
              <w:rPr>
                <w:rFonts w:hint="eastAsia" w:ascii="仿宋_GB2312" w:hAnsi="宋体" w:eastAsia="仿宋_GB2312" w:cs="宋体"/>
                <w:color w:val="FF0000"/>
                <w:kern w:val="0"/>
                <w:sz w:val="28"/>
                <w:szCs w:val="28"/>
              </w:rPr>
              <w:t>法制委、内司委，省人大常委会法工委，</w:t>
            </w:r>
            <w:r>
              <w:rPr>
                <w:rFonts w:ascii="仿宋_GB2312" w:hAnsi="宋体" w:eastAsia="仿宋_GB2312" w:cs="宋体"/>
                <w:color w:val="FF0000"/>
                <w:kern w:val="0"/>
                <w:sz w:val="28"/>
                <w:szCs w:val="28"/>
              </w:rPr>
              <w:t>省政协</w:t>
            </w:r>
            <w:r>
              <w:rPr>
                <w:rFonts w:hint="eastAsia" w:ascii="仿宋_GB2312" w:hAnsi="宋体" w:eastAsia="仿宋_GB2312" w:cs="宋体"/>
                <w:color w:val="FF0000"/>
                <w:kern w:val="0"/>
                <w:sz w:val="28"/>
                <w:szCs w:val="28"/>
              </w:rPr>
              <w:t>社法委，省法院，省检察院，省</w:t>
            </w:r>
            <w:r>
              <w:rPr>
                <w:rFonts w:ascii="仿宋_GB2312" w:hAnsi="宋体" w:eastAsia="仿宋_GB2312" w:cs="宋体"/>
                <w:color w:val="FF0000"/>
                <w:kern w:val="0"/>
                <w:sz w:val="28"/>
                <w:szCs w:val="28"/>
              </w:rPr>
              <w:t>公安厅</w:t>
            </w:r>
            <w:r>
              <w:rPr>
                <w:rFonts w:hint="eastAsia" w:ascii="仿宋_GB2312" w:hAnsi="宋体" w:eastAsia="仿宋_GB2312" w:cs="宋体"/>
                <w:color w:val="FF0000"/>
                <w:kern w:val="0"/>
                <w:sz w:val="28"/>
                <w:szCs w:val="28"/>
              </w:rPr>
              <w:t>、国家</w:t>
            </w:r>
            <w:r>
              <w:rPr>
                <w:rFonts w:ascii="仿宋_GB2312" w:hAnsi="宋体" w:eastAsia="仿宋_GB2312" w:cs="宋体"/>
                <w:color w:val="FF0000"/>
                <w:kern w:val="0"/>
                <w:sz w:val="28"/>
                <w:szCs w:val="28"/>
              </w:rPr>
              <w:t>安全厅</w:t>
            </w:r>
            <w:r>
              <w:rPr>
                <w:rFonts w:hint="eastAsia" w:ascii="仿宋_GB2312" w:hAnsi="宋体" w:eastAsia="仿宋_GB2312" w:cs="宋体"/>
                <w:color w:val="FF0000"/>
                <w:kern w:val="0"/>
                <w:sz w:val="28"/>
                <w:szCs w:val="28"/>
              </w:rPr>
              <w:t>、</w:t>
            </w:r>
            <w:r>
              <w:rPr>
                <w:rFonts w:ascii="仿宋_GB2312" w:hAnsi="宋体" w:eastAsia="仿宋_GB2312" w:cs="宋体"/>
                <w:color w:val="FF0000"/>
                <w:kern w:val="0"/>
                <w:sz w:val="28"/>
                <w:szCs w:val="28"/>
              </w:rPr>
              <w:t>司法厅</w:t>
            </w:r>
            <w:r>
              <w:rPr>
                <w:rFonts w:hint="eastAsia" w:ascii="仿宋_GB2312" w:hAnsi="宋体" w:eastAsia="仿宋_GB2312" w:cs="宋体"/>
                <w:color w:val="FF0000"/>
                <w:kern w:val="0"/>
                <w:sz w:val="28"/>
                <w:szCs w:val="28"/>
              </w:rPr>
              <w:t>，</w:t>
            </w:r>
            <w:r>
              <w:rPr>
                <w:rFonts w:ascii="仿宋_GB2312" w:hAnsi="宋体" w:eastAsia="仿宋_GB2312" w:cs="宋体"/>
                <w:color w:val="FF0000"/>
                <w:kern w:val="0"/>
                <w:sz w:val="28"/>
                <w:szCs w:val="28"/>
              </w:rPr>
              <w:t>省政府</w:t>
            </w:r>
            <w:r>
              <w:rPr>
                <w:rFonts w:hint="eastAsia" w:ascii="仿宋_GB2312" w:hAnsi="宋体" w:eastAsia="仿宋_GB2312" w:cs="宋体"/>
                <w:color w:val="FF0000"/>
                <w:kern w:val="0"/>
                <w:sz w:val="28"/>
                <w:szCs w:val="28"/>
              </w:rPr>
              <w:t>法制办，相关部门，省法学会常务理事会组成人员。</w:t>
            </w:r>
          </w:p>
          <w:p>
            <w:pPr>
              <w:spacing w:line="520" w:lineRule="exact"/>
              <w:ind w:left="420" w:hanging="420" w:hangingChars="150"/>
              <w:rPr>
                <w:rFonts w:ascii="仿宋_GB2312" w:hAnsi="宋体" w:eastAsia="仿宋_GB2312" w:cs="宋体"/>
                <w:color w:val="FF0000"/>
                <w:kern w:val="0"/>
                <w:sz w:val="28"/>
                <w:szCs w:val="28"/>
              </w:rPr>
            </w:pPr>
            <w:r>
              <w:rPr>
                <w:rFonts w:hint="eastAsia" w:ascii="仿宋_GB2312" w:hAnsi="宋体" w:eastAsia="仿宋_GB2312" w:cs="宋体"/>
                <w:color w:val="FF0000"/>
                <w:kern w:val="0"/>
                <w:sz w:val="28"/>
                <w:szCs w:val="28"/>
              </w:rPr>
              <w:t>发：</w:t>
            </w:r>
            <w:r>
              <w:rPr>
                <w:rFonts w:hint="eastAsia" w:ascii="仿宋_GB2312" w:hAnsi="宋体" w:eastAsia="仿宋_GB2312" w:cs="宋体"/>
                <w:color w:val="FF0000"/>
                <w:spacing w:val="-6"/>
                <w:kern w:val="0"/>
                <w:sz w:val="28"/>
                <w:szCs w:val="28"/>
              </w:rPr>
              <w:t>各省辖市、</w:t>
            </w:r>
            <w:r>
              <w:rPr>
                <w:rFonts w:ascii="仿宋_GB2312" w:hAnsi="宋体" w:eastAsia="仿宋_GB2312" w:cs="宋体"/>
                <w:color w:val="FF0000"/>
                <w:spacing w:val="-6"/>
                <w:kern w:val="0"/>
                <w:sz w:val="28"/>
                <w:szCs w:val="28"/>
              </w:rPr>
              <w:t>直管</w:t>
            </w:r>
            <w:r>
              <w:rPr>
                <w:rFonts w:hint="eastAsia" w:ascii="仿宋_GB2312" w:hAnsi="宋体" w:eastAsia="仿宋_GB2312" w:cs="宋体"/>
                <w:color w:val="FF0000"/>
                <w:spacing w:val="-6"/>
                <w:kern w:val="0"/>
                <w:sz w:val="28"/>
                <w:szCs w:val="28"/>
              </w:rPr>
              <w:t>县（市</w:t>
            </w:r>
            <w:r>
              <w:rPr>
                <w:rFonts w:ascii="仿宋_GB2312" w:hAnsi="宋体" w:eastAsia="仿宋_GB2312" w:cs="宋体"/>
                <w:color w:val="FF0000"/>
                <w:spacing w:val="-6"/>
                <w:kern w:val="0"/>
                <w:sz w:val="28"/>
                <w:szCs w:val="28"/>
              </w:rPr>
              <w:t>）</w:t>
            </w:r>
            <w:r>
              <w:rPr>
                <w:rFonts w:hint="eastAsia" w:ascii="仿宋_GB2312" w:hAnsi="宋体" w:eastAsia="仿宋_GB2312" w:cs="宋体"/>
                <w:color w:val="FF0000"/>
                <w:spacing w:val="-6"/>
                <w:kern w:val="0"/>
                <w:sz w:val="28"/>
                <w:szCs w:val="28"/>
              </w:rPr>
              <w:t>法学会，省铁路法学会，各研究会。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8820" w:type="dxa"/>
            <w:tcBorders>
              <w:top w:val="single" w:color="auto" w:sz="8" w:space="0"/>
              <w:left w:val="nil"/>
              <w:bottom w:val="single" w:color="auto" w:sz="8" w:space="0"/>
              <w:right w:val="nil"/>
            </w:tcBorders>
          </w:tcPr>
          <w:p>
            <w:pPr>
              <w:rPr>
                <w:rFonts w:ascii="仿宋_GB2312" w:hAnsi="宋体" w:eastAsia="仿宋_GB2312" w:cs="宋体"/>
                <w:color w:val="FF0000"/>
                <w:kern w:val="0"/>
                <w:sz w:val="28"/>
                <w:szCs w:val="28"/>
              </w:rPr>
            </w:pPr>
            <w:r>
              <w:rPr>
                <w:rFonts w:hint="eastAsia" w:ascii="仿宋_GB2312" w:hAnsi="宋体" w:eastAsia="仿宋_GB2312" w:cs="宋体"/>
                <w:color w:val="FF0000"/>
                <w:kern w:val="0"/>
                <w:sz w:val="28"/>
                <w:szCs w:val="28"/>
              </w:rPr>
              <w:t xml:space="preserve">河南省法学会研究部          </w:t>
            </w:r>
            <w:r>
              <w:rPr>
                <w:rFonts w:ascii="仿宋_GB2312" w:hAnsi="宋体" w:eastAsia="仿宋_GB2312" w:cs="宋体"/>
                <w:color w:val="FF0000"/>
                <w:kern w:val="0"/>
                <w:sz w:val="28"/>
                <w:szCs w:val="28"/>
              </w:rPr>
              <w:t xml:space="preserve">            </w:t>
            </w:r>
            <w:r>
              <w:rPr>
                <w:rFonts w:hint="eastAsia" w:ascii="仿宋_GB2312" w:hAnsi="宋体" w:eastAsia="仿宋_GB2312" w:cs="宋体"/>
                <w:color w:val="FF0000"/>
                <w:kern w:val="0"/>
                <w:sz w:val="28"/>
                <w:szCs w:val="28"/>
              </w:rPr>
              <w:t xml:space="preserve"> </w:t>
            </w:r>
            <w:r>
              <w:rPr>
                <w:rFonts w:ascii="仿宋_GB2312" w:hAnsi="宋体" w:eastAsia="仿宋_GB2312" w:cs="宋体"/>
                <w:color w:val="FF0000"/>
                <w:kern w:val="0"/>
                <w:sz w:val="28"/>
                <w:szCs w:val="28"/>
              </w:rPr>
              <w:t>20</w:t>
            </w:r>
            <w:r>
              <w:rPr>
                <w:rFonts w:hint="eastAsia" w:ascii="仿宋_GB2312" w:hAnsi="宋体" w:eastAsia="仿宋_GB2312" w:cs="宋体"/>
                <w:color w:val="FF0000"/>
                <w:kern w:val="0"/>
                <w:sz w:val="28"/>
                <w:szCs w:val="28"/>
              </w:rPr>
              <w:t>1</w:t>
            </w:r>
            <w:r>
              <w:rPr>
                <w:rFonts w:ascii="仿宋_GB2312" w:hAnsi="宋体" w:eastAsia="仿宋_GB2312" w:cs="宋体"/>
                <w:color w:val="FF0000"/>
                <w:kern w:val="0"/>
                <w:sz w:val="28"/>
                <w:szCs w:val="28"/>
              </w:rPr>
              <w:t>7</w:t>
            </w:r>
            <w:r>
              <w:rPr>
                <w:rFonts w:hint="eastAsia" w:ascii="仿宋_GB2312" w:hAnsi="宋体" w:eastAsia="仿宋_GB2312" w:cs="宋体"/>
                <w:color w:val="FF0000"/>
                <w:kern w:val="0"/>
                <w:sz w:val="28"/>
                <w:szCs w:val="28"/>
              </w:rPr>
              <w:t>年</w:t>
            </w:r>
            <w:r>
              <w:rPr>
                <w:rFonts w:ascii="仿宋_GB2312" w:hAnsi="宋体" w:eastAsia="仿宋_GB2312" w:cs="宋体"/>
                <w:color w:val="FF0000"/>
                <w:kern w:val="0"/>
                <w:sz w:val="28"/>
                <w:szCs w:val="28"/>
              </w:rPr>
              <w:t>5</w:t>
            </w:r>
            <w:r>
              <w:rPr>
                <w:rFonts w:hint="eastAsia" w:ascii="仿宋_GB2312" w:hAnsi="宋体" w:eastAsia="仿宋_GB2312" w:cs="宋体"/>
                <w:color w:val="FF0000"/>
                <w:kern w:val="0"/>
                <w:sz w:val="28"/>
                <w:szCs w:val="28"/>
              </w:rPr>
              <w:t>月</w:t>
            </w:r>
            <w:r>
              <w:rPr>
                <w:rFonts w:ascii="仿宋_GB2312" w:hAnsi="宋体" w:eastAsia="仿宋_GB2312" w:cs="宋体"/>
                <w:color w:val="FF0000"/>
                <w:kern w:val="0"/>
                <w:sz w:val="28"/>
                <w:szCs w:val="28"/>
              </w:rPr>
              <w:t>17</w:t>
            </w:r>
            <w:r>
              <w:rPr>
                <w:rFonts w:hint="eastAsia" w:ascii="仿宋_GB2312" w:hAnsi="宋体" w:eastAsia="仿宋_GB2312" w:cs="宋体"/>
                <w:color w:val="FF0000"/>
                <w:kern w:val="0"/>
                <w:sz w:val="28"/>
                <w:szCs w:val="28"/>
              </w:rPr>
              <w:t>日印发</w:t>
            </w:r>
          </w:p>
        </w:tc>
      </w:tr>
    </w:tbl>
    <w:p>
      <w:pPr>
        <w:pStyle w:val="7"/>
        <w:shd w:val="clear" w:color="auto" w:fill="FFFFFF"/>
        <w:spacing w:before="0" w:beforeAutospacing="0" w:after="0" w:afterAutospacing="0"/>
        <w:rPr>
          <w:rFonts w:ascii="仿宋_GB2312" w:eastAsia="仿宋_GB2312"/>
          <w:color w:val="000000" w:themeColor="text1"/>
          <w:sz w:val="11"/>
          <w:szCs w:val="32"/>
        </w:rPr>
      </w:pPr>
    </w:p>
    <w:sectPr>
      <w:footerReference r:id="rId3" w:type="default"/>
      <w:pgSz w:w="11906" w:h="16838"/>
      <w:pgMar w:top="1814"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Style w:val="10"/>
        <w:sz w:val="28"/>
      </w:rPr>
      <w:t>––</w:t>
    </w:r>
    <w:r>
      <w:rPr>
        <w:rStyle w:val="10"/>
        <w:rFonts w:ascii="Times New Roman" w:hAnsi="Times New Roman" w:cs="Times New Roman"/>
        <w:sz w:val="28"/>
      </w:rPr>
      <w:t xml:space="preserve"> </w:t>
    </w:r>
    <w:r>
      <w:rPr>
        <w:rStyle w:val="10"/>
        <w:rFonts w:ascii="Times New Roman" w:hAnsi="Times New Roman" w:cs="Times New Roman"/>
        <w:sz w:val="28"/>
      </w:rPr>
      <w:fldChar w:fldCharType="begin"/>
    </w:r>
    <w:r>
      <w:rPr>
        <w:rStyle w:val="10"/>
        <w:rFonts w:ascii="Times New Roman" w:hAnsi="Times New Roman" w:cs="Times New Roman"/>
        <w:sz w:val="28"/>
      </w:rPr>
      <w:instrText xml:space="preserve">PAGE  </w:instrText>
    </w:r>
    <w:r>
      <w:rPr>
        <w:rStyle w:val="10"/>
        <w:rFonts w:ascii="Times New Roman" w:hAnsi="Times New Roman" w:cs="Times New Roman"/>
        <w:sz w:val="28"/>
      </w:rPr>
      <w:fldChar w:fldCharType="separate"/>
    </w:r>
    <w:r>
      <w:rPr>
        <w:rStyle w:val="10"/>
        <w:rFonts w:ascii="Times New Roman" w:hAnsi="Times New Roman" w:cs="Times New Roman"/>
        <w:sz w:val="28"/>
      </w:rPr>
      <w:t>1</w:t>
    </w:r>
    <w:r>
      <w:rPr>
        <w:rStyle w:val="10"/>
        <w:rFonts w:ascii="Times New Roman" w:hAnsi="Times New Roman" w:cs="Times New Roman"/>
        <w:sz w:val="28"/>
      </w:rPr>
      <w:fldChar w:fldCharType="end"/>
    </w:r>
    <w:r>
      <w:rPr>
        <w:rStyle w:val="10"/>
        <w:rFonts w:ascii="Times New Roman" w:hAnsi="Times New Roman" w:cs="Times New Roman"/>
        <w:sz w:val="28"/>
      </w:rPr>
      <w:t xml:space="preserve"> </w:t>
    </w:r>
    <w:r>
      <w:rPr>
        <w:rStyle w:val="10"/>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3A"/>
    <w:rsid w:val="00007B72"/>
    <w:rsid w:val="00033B5E"/>
    <w:rsid w:val="0005322D"/>
    <w:rsid w:val="00072C96"/>
    <w:rsid w:val="000D286E"/>
    <w:rsid w:val="000E3E80"/>
    <w:rsid w:val="000F5EED"/>
    <w:rsid w:val="00101D8C"/>
    <w:rsid w:val="00103540"/>
    <w:rsid w:val="00116BD7"/>
    <w:rsid w:val="001300BC"/>
    <w:rsid w:val="0014723A"/>
    <w:rsid w:val="00166D02"/>
    <w:rsid w:val="001812C2"/>
    <w:rsid w:val="001A25C6"/>
    <w:rsid w:val="001B5665"/>
    <w:rsid w:val="001C6CB5"/>
    <w:rsid w:val="00225998"/>
    <w:rsid w:val="002330DE"/>
    <w:rsid w:val="00262460"/>
    <w:rsid w:val="002825AF"/>
    <w:rsid w:val="002B5DBB"/>
    <w:rsid w:val="002B7774"/>
    <w:rsid w:val="002D2662"/>
    <w:rsid w:val="002E0CA9"/>
    <w:rsid w:val="002E3203"/>
    <w:rsid w:val="00327E25"/>
    <w:rsid w:val="00352E9D"/>
    <w:rsid w:val="00362359"/>
    <w:rsid w:val="003631E9"/>
    <w:rsid w:val="003811DC"/>
    <w:rsid w:val="003927C6"/>
    <w:rsid w:val="003A16CC"/>
    <w:rsid w:val="003A71EB"/>
    <w:rsid w:val="003F1B48"/>
    <w:rsid w:val="003F58A4"/>
    <w:rsid w:val="00437E03"/>
    <w:rsid w:val="004457B6"/>
    <w:rsid w:val="0046011C"/>
    <w:rsid w:val="00492441"/>
    <w:rsid w:val="004A5497"/>
    <w:rsid w:val="004D1510"/>
    <w:rsid w:val="004D7C51"/>
    <w:rsid w:val="00507067"/>
    <w:rsid w:val="00511211"/>
    <w:rsid w:val="005A6882"/>
    <w:rsid w:val="005C0F58"/>
    <w:rsid w:val="0065136B"/>
    <w:rsid w:val="00651570"/>
    <w:rsid w:val="0065429F"/>
    <w:rsid w:val="006668EF"/>
    <w:rsid w:val="006734C1"/>
    <w:rsid w:val="0068509F"/>
    <w:rsid w:val="0068686A"/>
    <w:rsid w:val="0069695E"/>
    <w:rsid w:val="006A0A27"/>
    <w:rsid w:val="006C3640"/>
    <w:rsid w:val="00701A2C"/>
    <w:rsid w:val="00725FC8"/>
    <w:rsid w:val="00741963"/>
    <w:rsid w:val="00741CF8"/>
    <w:rsid w:val="00762D02"/>
    <w:rsid w:val="00765B3B"/>
    <w:rsid w:val="007679B0"/>
    <w:rsid w:val="007842B9"/>
    <w:rsid w:val="00792FF3"/>
    <w:rsid w:val="007C081E"/>
    <w:rsid w:val="007C5FD4"/>
    <w:rsid w:val="007D33AA"/>
    <w:rsid w:val="007E0FA0"/>
    <w:rsid w:val="008C56F6"/>
    <w:rsid w:val="008E2EB4"/>
    <w:rsid w:val="008F74CF"/>
    <w:rsid w:val="00923A10"/>
    <w:rsid w:val="00925D07"/>
    <w:rsid w:val="0093309C"/>
    <w:rsid w:val="00937655"/>
    <w:rsid w:val="0095700E"/>
    <w:rsid w:val="00964B69"/>
    <w:rsid w:val="0098295D"/>
    <w:rsid w:val="00992A2C"/>
    <w:rsid w:val="009A74CA"/>
    <w:rsid w:val="009D1250"/>
    <w:rsid w:val="009F2B83"/>
    <w:rsid w:val="009F6A64"/>
    <w:rsid w:val="00A178BD"/>
    <w:rsid w:val="00A619C9"/>
    <w:rsid w:val="00AA2870"/>
    <w:rsid w:val="00AC5707"/>
    <w:rsid w:val="00AE20C9"/>
    <w:rsid w:val="00AE2C8E"/>
    <w:rsid w:val="00B0052D"/>
    <w:rsid w:val="00B043E3"/>
    <w:rsid w:val="00B10F64"/>
    <w:rsid w:val="00B11784"/>
    <w:rsid w:val="00BC5E62"/>
    <w:rsid w:val="00C014F0"/>
    <w:rsid w:val="00CA0B52"/>
    <w:rsid w:val="00CC54D0"/>
    <w:rsid w:val="00D00282"/>
    <w:rsid w:val="00D07081"/>
    <w:rsid w:val="00D12D25"/>
    <w:rsid w:val="00D20274"/>
    <w:rsid w:val="00D33E13"/>
    <w:rsid w:val="00D455D1"/>
    <w:rsid w:val="00D51801"/>
    <w:rsid w:val="00D6277B"/>
    <w:rsid w:val="00DA40AF"/>
    <w:rsid w:val="00DA711E"/>
    <w:rsid w:val="00DB5AB2"/>
    <w:rsid w:val="00DB7BBD"/>
    <w:rsid w:val="00DE4B1F"/>
    <w:rsid w:val="00E311D4"/>
    <w:rsid w:val="00E61070"/>
    <w:rsid w:val="00E759C6"/>
    <w:rsid w:val="00E86EA3"/>
    <w:rsid w:val="00EC4220"/>
    <w:rsid w:val="00ED6773"/>
    <w:rsid w:val="00F666FE"/>
    <w:rsid w:val="00F66DF8"/>
    <w:rsid w:val="00FA178F"/>
    <w:rsid w:val="00FA3F8E"/>
    <w:rsid w:val="00FC11B8"/>
    <w:rsid w:val="00FC3F63"/>
    <w:rsid w:val="00FC7921"/>
    <w:rsid w:val="00FE60F2"/>
    <w:rsid w:val="2FA01927"/>
    <w:rsid w:val="55B16097"/>
    <w:rsid w:val="571363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kern w:val="0"/>
      <w:sz w:val="24"/>
      <w:szCs w:val="24"/>
    </w:rPr>
  </w:style>
  <w:style w:type="character" w:default="1" w:styleId="8">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20"/>
    <w:semiHidden/>
    <w:unhideWhenUsed/>
    <w:qFormat/>
    <w:uiPriority w:val="99"/>
    <w:rPr>
      <w:sz w:val="18"/>
      <w:szCs w:val="18"/>
    </w:rPr>
  </w:style>
  <w:style w:type="paragraph" w:styleId="4">
    <w:name w:val="footer"/>
    <w:basedOn w:val="1"/>
    <w:link w:val="18"/>
    <w:unhideWhenUsed/>
    <w:qFormat/>
    <w:uiPriority w:val="0"/>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page number"/>
    <w:basedOn w:val="8"/>
    <w:uiPriority w:val="0"/>
  </w:style>
  <w:style w:type="character" w:styleId="11">
    <w:name w:val="Hyperlink"/>
    <w:basedOn w:val="8"/>
    <w:semiHidden/>
    <w:unhideWhenUsed/>
    <w:qFormat/>
    <w:uiPriority w:val="99"/>
    <w:rPr>
      <w:color w:val="607FA6"/>
      <w:u w:val="none"/>
    </w:rPr>
  </w:style>
  <w:style w:type="character" w:customStyle="1" w:styleId="13">
    <w:name w:val="标题 2 Char"/>
    <w:basedOn w:val="8"/>
    <w:link w:val="2"/>
    <w:uiPriority w:val="9"/>
    <w:rPr>
      <w:rFonts w:ascii="宋体" w:hAnsi="宋体" w:eastAsia="宋体" w:cs="宋体"/>
      <w:kern w:val="0"/>
      <w:sz w:val="24"/>
      <w:szCs w:val="24"/>
    </w:rPr>
  </w:style>
  <w:style w:type="paragraph" w:customStyle="1" w:styleId="14">
    <w:name w:val="profile_meta"/>
    <w:basedOn w:val="1"/>
    <w:uiPriority w:val="0"/>
    <w:pPr>
      <w:widowControl/>
      <w:spacing w:before="75" w:after="100" w:afterAutospacing="1"/>
      <w:jc w:val="left"/>
    </w:pPr>
    <w:rPr>
      <w:rFonts w:ascii="宋体" w:hAnsi="宋体" w:eastAsia="宋体" w:cs="宋体"/>
      <w:kern w:val="0"/>
      <w:sz w:val="24"/>
      <w:szCs w:val="24"/>
    </w:rPr>
  </w:style>
  <w:style w:type="character" w:customStyle="1" w:styleId="15">
    <w:name w:val="rich_media_meta1"/>
    <w:basedOn w:val="8"/>
    <w:uiPriority w:val="0"/>
    <w:rPr>
      <w:sz w:val="24"/>
      <w:szCs w:val="24"/>
    </w:rPr>
  </w:style>
  <w:style w:type="character" w:customStyle="1" w:styleId="16">
    <w:name w:val="profile_meta_value1"/>
    <w:basedOn w:val="8"/>
    <w:qFormat/>
    <w:uiPriority w:val="0"/>
    <w:rPr>
      <w:color w:val="ADADAD"/>
    </w:rPr>
  </w:style>
  <w:style w:type="character" w:customStyle="1" w:styleId="17">
    <w:name w:val="页眉 Char"/>
    <w:basedOn w:val="8"/>
    <w:link w:val="5"/>
    <w:uiPriority w:val="99"/>
    <w:rPr>
      <w:sz w:val="18"/>
      <w:szCs w:val="18"/>
    </w:rPr>
  </w:style>
  <w:style w:type="character" w:customStyle="1" w:styleId="18">
    <w:name w:val="页脚 Char"/>
    <w:basedOn w:val="8"/>
    <w:link w:val="4"/>
    <w:uiPriority w:val="99"/>
    <w:rPr>
      <w:sz w:val="18"/>
      <w:szCs w:val="18"/>
    </w:rPr>
  </w:style>
  <w:style w:type="character" w:customStyle="1" w:styleId="19">
    <w:name w:val="HTML 预设格式 Char"/>
    <w:basedOn w:val="8"/>
    <w:link w:val="6"/>
    <w:uiPriority w:val="99"/>
    <w:rPr>
      <w:rFonts w:ascii="宋体" w:hAnsi="宋体" w:eastAsia="宋体" w:cs="宋体"/>
      <w:kern w:val="0"/>
      <w:sz w:val="24"/>
      <w:szCs w:val="24"/>
    </w:rPr>
  </w:style>
  <w:style w:type="character" w:customStyle="1" w:styleId="20">
    <w:name w:val="批注框文本 Char"/>
    <w:basedOn w:val="8"/>
    <w:link w:val="3"/>
    <w:semiHidden/>
    <w:uiPriority w:val="99"/>
    <w:rPr>
      <w:sz w:val="18"/>
      <w:szCs w:val="18"/>
    </w:rPr>
  </w:style>
  <w:style w:type="paragraph" w:customStyle="1" w:styleId="21">
    <w:name w:val="p0"/>
    <w:basedOn w:val="1"/>
    <w:uiPriority w:val="0"/>
    <w:pPr>
      <w:widowControl/>
      <w:jc w:val="left"/>
    </w:pPr>
    <w:rPr>
      <w:rFonts w:ascii="宋体" w:hAnsi="宋体" w:eastAsia="宋体" w:cs="宋体"/>
      <w:kern w:val="0"/>
      <w:sz w:val="24"/>
      <w:szCs w:val="24"/>
    </w:rPr>
  </w:style>
  <w:style w:type="paragraph" w:customStyle="1" w:styleId="22">
    <w:name w:val="一级标题"/>
    <w:basedOn w:val="1"/>
    <w:link w:val="23"/>
    <w:qFormat/>
    <w:uiPriority w:val="0"/>
    <w:pPr>
      <w:spacing w:line="360" w:lineRule="auto"/>
      <w:ind w:firstLine="640" w:firstLineChars="200"/>
    </w:pPr>
    <w:rPr>
      <w:rFonts w:ascii="黑体" w:hAnsi="黑体" w:eastAsia="黑体"/>
      <w:color w:val="000000" w:themeColor="text1"/>
      <w:sz w:val="32"/>
      <w:szCs w:val="32"/>
    </w:rPr>
  </w:style>
  <w:style w:type="character" w:customStyle="1" w:styleId="23">
    <w:name w:val="一级标题 Char"/>
    <w:basedOn w:val="8"/>
    <w:link w:val="22"/>
    <w:uiPriority w:val="0"/>
    <w:rPr>
      <w:rFonts w:ascii="黑体" w:hAnsi="黑体" w:eastAsia="黑体"/>
      <w:color w:val="000000" w:themeColor="text1"/>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D0D5FD-9EF1-488B-B704-BD3E7DB1551B}">
  <ds:schemaRefs/>
</ds:datastoreItem>
</file>

<file path=docProps/app.xml><?xml version="1.0" encoding="utf-8"?>
<Properties xmlns="http://schemas.openxmlformats.org/officeDocument/2006/extended-properties" xmlns:vt="http://schemas.openxmlformats.org/officeDocument/2006/docPropsVTypes">
  <Template>Normal</Template>
  <Pages>5</Pages>
  <Words>356</Words>
  <Characters>2035</Characters>
  <Lines>16</Lines>
  <Paragraphs>4</Paragraphs>
  <TotalTime>436</TotalTime>
  <ScaleCrop>false</ScaleCrop>
  <LinksUpToDate>false</LinksUpToDate>
  <CharactersWithSpaces>2387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2016-01-11T06:29:00Z</dcterms:created>
  <dc:creator>Administrator</dc:creator>
  <cp:lastModifiedBy>asus</cp:lastModifiedBy>
  <cp:lastPrinted>2017-05-19T01:48:00Z</cp:lastPrinted>
  <dcterms:modified xsi:type="dcterms:W3CDTF">2018-11-13T05:30:15Z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